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2F0FC555" w:rsidR="00E55547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33E6DEC">
                <wp:simplePos x="0" y="0"/>
                <wp:positionH relativeFrom="page">
                  <wp:posOffset>928150</wp:posOffset>
                </wp:positionH>
                <wp:positionV relativeFrom="page">
                  <wp:posOffset>2915081</wp:posOffset>
                </wp:positionV>
                <wp:extent cx="2715700" cy="2234436"/>
                <wp:effectExtent l="0" t="0" r="8890" b="1397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700" cy="2234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54B5" w14:textId="3DBA99FD" w:rsidR="00BA56C2" w:rsidRDefault="00BA56C2" w:rsidP="000F0D2F">
                            <w:pPr>
                              <w:pStyle w:val="a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proofErr w:type="gramStart"/>
                            <w:r>
                              <w:t xml:space="preserve">Об утверждении </w:t>
                            </w:r>
                            <w:r w:rsidR="00E35A55">
                              <w:t>ш</w:t>
                            </w:r>
                            <w:r>
                              <w:t xml:space="preserve">калы критериев </w:t>
                            </w:r>
                            <w:r w:rsidR="00227344">
                              <w:t>для</w:t>
                            </w:r>
                            <w:r>
                              <w:t xml:space="preserve"> оценк</w:t>
                            </w:r>
                            <w:r w:rsidR="00227344">
                              <w:t>и и сопоставления</w:t>
                            </w:r>
                            <w:r>
                              <w:t xml:space="preserve"> заявок на участие в открытом конкурсе на право получения свидетельств об осуществлении перевозок по </w:t>
                            </w:r>
                            <w:r w:rsidR="000F0D2F">
                              <w:t xml:space="preserve"> нерегулируемым тарифам, </w:t>
                            </w:r>
                            <w:r w:rsidR="00E35A55">
                              <w:t>т</w:t>
                            </w:r>
                            <w:r>
                              <w:t xml:space="preserve">ребований к юридическим лицам, индивидуальным предпринимателям, участникам договора простого товарищества, </w:t>
                            </w:r>
                            <w:r w:rsidR="00A33108">
                              <w:t>о</w:t>
                            </w:r>
                            <w:r>
                              <w:t>существляющим регулярные перевозки по нерегулируемым тарифам</w:t>
                            </w:r>
                            <w:r>
                              <w:fldChar w:fldCharType="end"/>
                            </w:r>
                            <w:proofErr w:type="gramEnd"/>
                          </w:p>
                          <w:p w14:paraId="1307AF0B" w14:textId="5A48C368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1pt;margin-top:229.55pt;width:213.85pt;height:175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mXrQIAAKo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" filled="f" stroked="f">
                <v:textbox inset="0,0,0,0">
                  <w:txbxContent>
                    <w:p w14:paraId="347D54B5" w14:textId="3DBA99FD" w:rsidR="00BA56C2" w:rsidRDefault="00BA56C2" w:rsidP="000F0D2F">
                      <w:pPr>
                        <w:pStyle w:val="a5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proofErr w:type="gramStart"/>
                      <w:r>
                        <w:t xml:space="preserve">Об утверждении </w:t>
                      </w:r>
                      <w:r w:rsidR="00E35A55">
                        <w:t>ш</w:t>
                      </w:r>
                      <w:r>
                        <w:t xml:space="preserve">калы критериев </w:t>
                      </w:r>
                      <w:r w:rsidR="00227344">
                        <w:t>для</w:t>
                      </w:r>
                      <w:r>
                        <w:t xml:space="preserve"> оценк</w:t>
                      </w:r>
                      <w:r w:rsidR="00227344">
                        <w:t>и и сопоставления</w:t>
                      </w:r>
                      <w:r>
                        <w:t xml:space="preserve"> заявок на участие в открытом конкурсе на право получения свидетельств об осуществлении перевозок по </w:t>
                      </w:r>
                      <w:r w:rsidR="000F0D2F">
                        <w:t xml:space="preserve"> нерегулируемым тарифам, </w:t>
                      </w:r>
                      <w:r w:rsidR="00E35A55">
                        <w:t>т</w:t>
                      </w:r>
                      <w:r>
                        <w:t xml:space="preserve">ребований к юридическим лицам, индивидуальным предпринимателям, участникам договора простого товарищества, </w:t>
                      </w:r>
                      <w:r w:rsidR="00A33108">
                        <w:t>о</w:t>
                      </w:r>
                      <w:r>
                        <w:t>существляющим регулярные перевозки по нерегулируемым тарифам</w:t>
                      </w:r>
                      <w:r>
                        <w:fldChar w:fldCharType="end"/>
                      </w:r>
                      <w:proofErr w:type="gramEnd"/>
                    </w:p>
                    <w:p w14:paraId="1307AF0B" w14:textId="5A48C368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9A1D3" w14:textId="77777777" w:rsidR="00E55547" w:rsidRPr="00E55547" w:rsidRDefault="00E55547" w:rsidP="00E55547"/>
    <w:p w14:paraId="068683C4" w14:textId="77777777" w:rsidR="00E55547" w:rsidRPr="002C2B78" w:rsidRDefault="00E55547" w:rsidP="00E55547"/>
    <w:p w14:paraId="6432C116" w14:textId="77777777" w:rsidR="00E55547" w:rsidRPr="00E55547" w:rsidRDefault="00E55547" w:rsidP="00E55547"/>
    <w:p w14:paraId="7CCCC9C9" w14:textId="77777777" w:rsidR="00E55547" w:rsidRPr="00E55547" w:rsidRDefault="00E55547" w:rsidP="00E55547"/>
    <w:p w14:paraId="010798CF" w14:textId="77777777" w:rsidR="00E55547" w:rsidRPr="00E55547" w:rsidRDefault="00E55547" w:rsidP="00E55547"/>
    <w:p w14:paraId="47B82358" w14:textId="77777777" w:rsidR="00E55547" w:rsidRPr="00E55547" w:rsidRDefault="00E55547" w:rsidP="00E55547"/>
    <w:p w14:paraId="2CFBE285" w14:textId="77777777" w:rsidR="00E55547" w:rsidRPr="00E55547" w:rsidRDefault="00E55547" w:rsidP="00E55547"/>
    <w:p w14:paraId="3960E92B" w14:textId="77777777" w:rsidR="00E55547" w:rsidRPr="00E55547" w:rsidRDefault="00E55547" w:rsidP="00E55547"/>
    <w:p w14:paraId="3F1C6801" w14:textId="77777777" w:rsidR="00E55547" w:rsidRPr="00E55547" w:rsidRDefault="00E55547" w:rsidP="00E55547"/>
    <w:p w14:paraId="283C349F" w14:textId="7ACF7F84" w:rsidR="00BA56C2" w:rsidRPr="00A062EE" w:rsidRDefault="00BA56C2" w:rsidP="000F0D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1C3B1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4 статьи 17, частью 4 статьи 24 </w:t>
      </w:r>
      <w:r w:rsidRPr="001C3B1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C3B1D">
        <w:rPr>
          <w:sz w:val="28"/>
          <w:szCs w:val="28"/>
        </w:rPr>
        <w:t xml:space="preserve"> </w:t>
      </w:r>
      <w:hyperlink r:id="rId9" w:history="1">
        <w:r w:rsidRPr="00056EDE">
          <w:rPr>
            <w:color w:val="000000"/>
            <w:sz w:val="28"/>
            <w:szCs w:val="28"/>
          </w:rPr>
          <w:t>закон</w:t>
        </w:r>
        <w:r>
          <w:rPr>
            <w:color w:val="000000"/>
            <w:sz w:val="28"/>
            <w:szCs w:val="28"/>
          </w:rPr>
          <w:t>а</w:t>
        </w:r>
      </w:hyperlink>
      <w:r w:rsidRPr="00056EDE">
        <w:rPr>
          <w:color w:val="000000"/>
          <w:sz w:val="28"/>
          <w:szCs w:val="28"/>
        </w:rPr>
        <w:t xml:space="preserve"> от 13</w:t>
      </w:r>
      <w:r>
        <w:rPr>
          <w:color w:val="000000"/>
          <w:sz w:val="28"/>
          <w:szCs w:val="28"/>
        </w:rPr>
        <w:t xml:space="preserve"> июля </w:t>
      </w:r>
      <w:r w:rsidRPr="00056EDE"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 xml:space="preserve"> г.</w:t>
      </w:r>
      <w:r w:rsidRPr="00056EDE">
        <w:rPr>
          <w:color w:val="000000"/>
          <w:sz w:val="28"/>
          <w:szCs w:val="28"/>
        </w:rPr>
        <w:t xml:space="preserve"> № 220-ФЗ </w:t>
      </w:r>
      <w:r>
        <w:rPr>
          <w:color w:val="000000"/>
          <w:sz w:val="28"/>
          <w:szCs w:val="28"/>
        </w:rPr>
        <w:t>«</w:t>
      </w:r>
      <w:r w:rsidRPr="00056EDE">
        <w:rPr>
          <w:color w:val="000000"/>
          <w:sz w:val="28"/>
          <w:szCs w:val="28"/>
        </w:rPr>
        <w:t xml:space="preserve">Об организации регулярных перевозок </w:t>
      </w:r>
      <w:proofErr w:type="gramStart"/>
      <w:r w:rsidRPr="00056EDE">
        <w:rPr>
          <w:color w:val="000000"/>
          <w:sz w:val="28"/>
          <w:szCs w:val="28"/>
        </w:rPr>
        <w:t>пассажиров</w:t>
      </w:r>
      <w:r w:rsidRPr="001C3B1D">
        <w:rPr>
          <w:sz w:val="28"/>
          <w:szCs w:val="28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1C3B1D">
        <w:rPr>
          <w:sz w:val="28"/>
          <w:szCs w:val="28"/>
        </w:rPr>
        <w:t xml:space="preserve"> </w:t>
      </w:r>
      <w:r w:rsidR="00240DFD">
        <w:rPr>
          <w:sz w:val="28"/>
          <w:szCs w:val="28"/>
        </w:rPr>
        <w:t xml:space="preserve">частью 4 статьи 4 </w:t>
      </w:r>
      <w:hyperlink r:id="rId10" w:history="1">
        <w:r w:rsidR="00240DFD" w:rsidRPr="00547BD8">
          <w:rPr>
            <w:color w:val="000000"/>
            <w:sz w:val="28"/>
            <w:szCs w:val="28"/>
          </w:rPr>
          <w:t>Закон</w:t>
        </w:r>
        <w:r w:rsidR="00240DFD">
          <w:rPr>
            <w:color w:val="000000"/>
            <w:sz w:val="28"/>
            <w:szCs w:val="28"/>
          </w:rPr>
          <w:t>а</w:t>
        </w:r>
      </w:hyperlink>
      <w:r w:rsidR="00240DFD" w:rsidRPr="00547BD8">
        <w:rPr>
          <w:sz w:val="28"/>
          <w:szCs w:val="28"/>
        </w:rPr>
        <w:t xml:space="preserve"> Пермского края от 12 октября 2006 г. № 19-КЗ «Об основах организации транспортного обслуживания населения на территории Пермского края», </w:t>
      </w:r>
      <w:r w:rsidR="00240DFD">
        <w:rPr>
          <w:sz w:val="28"/>
          <w:szCs w:val="28"/>
        </w:rPr>
        <w:t>пунктом 8 части 1 статьи 5, пунктом 6 части 2 статьи 30 Устава Пермского муниципального округа Пермского края</w:t>
      </w:r>
      <w:r>
        <w:rPr>
          <w:sz w:val="28"/>
          <w:szCs w:val="28"/>
        </w:rPr>
        <w:t xml:space="preserve">, </w:t>
      </w:r>
      <w:r w:rsidRPr="00A062E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Думы</w:t>
      </w:r>
      <w:r w:rsidRPr="00A062EE">
        <w:rPr>
          <w:sz w:val="28"/>
          <w:szCs w:val="28"/>
        </w:rPr>
        <w:t xml:space="preserve"> Пермского муниципального о</w:t>
      </w:r>
      <w:r>
        <w:rPr>
          <w:sz w:val="28"/>
          <w:szCs w:val="28"/>
        </w:rPr>
        <w:t>круг</w:t>
      </w:r>
      <w:r w:rsidRPr="00A062EE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 </w:t>
      </w:r>
      <w:r w:rsidRPr="00A062EE">
        <w:rPr>
          <w:sz w:val="28"/>
          <w:szCs w:val="28"/>
        </w:rPr>
        <w:t>от 22</w:t>
      </w:r>
      <w:r>
        <w:rPr>
          <w:sz w:val="28"/>
          <w:szCs w:val="28"/>
        </w:rPr>
        <w:t xml:space="preserve"> июня </w:t>
      </w:r>
      <w:r w:rsidRPr="00A062EE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025550">
        <w:rPr>
          <w:sz w:val="28"/>
          <w:szCs w:val="28"/>
        </w:rPr>
        <w:t xml:space="preserve"> г.</w:t>
      </w:r>
      <w:r w:rsidRPr="00A062EE">
        <w:rPr>
          <w:sz w:val="28"/>
          <w:szCs w:val="28"/>
        </w:rPr>
        <w:t xml:space="preserve"> № 1</w:t>
      </w:r>
      <w:r>
        <w:rPr>
          <w:sz w:val="28"/>
          <w:szCs w:val="28"/>
        </w:rPr>
        <w:t>87</w:t>
      </w:r>
      <w:r w:rsidRPr="00A062EE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ложения</w:t>
      </w:r>
      <w:r w:rsidRPr="00A06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A062EE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регулярных перевозок по нерегулируемым </w:t>
      </w:r>
      <w:bookmarkStart w:id="0" w:name="_GoBack"/>
      <w:bookmarkEnd w:id="0"/>
      <w:r>
        <w:rPr>
          <w:sz w:val="28"/>
          <w:szCs w:val="28"/>
        </w:rPr>
        <w:t xml:space="preserve">тарифам </w:t>
      </w:r>
      <w:r w:rsidRPr="00A062EE">
        <w:rPr>
          <w:sz w:val="28"/>
          <w:szCs w:val="28"/>
        </w:rPr>
        <w:t>в границах Пермского муниципального о</w:t>
      </w:r>
      <w:r>
        <w:rPr>
          <w:sz w:val="28"/>
          <w:szCs w:val="28"/>
        </w:rPr>
        <w:t>круг</w:t>
      </w:r>
      <w:r w:rsidRPr="00A062EE">
        <w:rPr>
          <w:sz w:val="28"/>
          <w:szCs w:val="28"/>
        </w:rPr>
        <w:t>а</w:t>
      </w:r>
      <w:r w:rsidR="00E45EBB">
        <w:rPr>
          <w:sz w:val="28"/>
          <w:szCs w:val="28"/>
        </w:rPr>
        <w:t xml:space="preserve"> Пермского края</w:t>
      </w:r>
      <w:r w:rsidRPr="00A062EE">
        <w:rPr>
          <w:sz w:val="28"/>
          <w:szCs w:val="28"/>
        </w:rPr>
        <w:t>»</w:t>
      </w:r>
      <w:proofErr w:type="gramEnd"/>
    </w:p>
    <w:p w14:paraId="28BB6DC9" w14:textId="1064860C" w:rsidR="00BA56C2" w:rsidRPr="001C3B1D" w:rsidRDefault="00BA56C2" w:rsidP="000F0D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804D90E" w14:textId="51FC8044" w:rsidR="00BA56C2" w:rsidRPr="001C3B1D" w:rsidRDefault="00A060D7" w:rsidP="00A060D7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 w:rsidR="00BA56C2">
        <w:rPr>
          <w:sz w:val="28"/>
          <w:szCs w:val="28"/>
        </w:rPr>
        <w:t> </w:t>
      </w:r>
      <w:hyperlink w:anchor="P46" w:history="1">
        <w:r>
          <w:rPr>
            <w:color w:val="000000"/>
            <w:sz w:val="28"/>
            <w:szCs w:val="28"/>
          </w:rPr>
          <w:t>ш</w:t>
        </w:r>
        <w:r w:rsidR="00BA56C2" w:rsidRPr="00056EDE">
          <w:rPr>
            <w:color w:val="000000"/>
            <w:sz w:val="28"/>
            <w:szCs w:val="28"/>
          </w:rPr>
          <w:t>кал</w:t>
        </w:r>
        <w:r w:rsidR="00BA56C2">
          <w:rPr>
            <w:color w:val="000000"/>
            <w:sz w:val="28"/>
            <w:szCs w:val="28"/>
          </w:rPr>
          <w:t>у</w:t>
        </w:r>
      </w:hyperlink>
      <w:r w:rsidR="00BA56C2" w:rsidRPr="00056EDE">
        <w:rPr>
          <w:color w:val="000000"/>
          <w:sz w:val="28"/>
          <w:szCs w:val="28"/>
        </w:rPr>
        <w:t xml:space="preserve"> </w:t>
      </w:r>
      <w:r w:rsidR="00227344">
        <w:rPr>
          <w:sz w:val="28"/>
          <w:szCs w:val="28"/>
        </w:rPr>
        <w:t>критериев для</w:t>
      </w:r>
      <w:r w:rsidR="00BA56C2" w:rsidRPr="001C3B1D">
        <w:rPr>
          <w:sz w:val="28"/>
          <w:szCs w:val="28"/>
        </w:rPr>
        <w:t xml:space="preserve"> оценк</w:t>
      </w:r>
      <w:r w:rsidR="00227344">
        <w:rPr>
          <w:sz w:val="28"/>
          <w:szCs w:val="28"/>
        </w:rPr>
        <w:t>и и сопоставления</w:t>
      </w:r>
      <w:r w:rsidR="00BA56C2" w:rsidRPr="001C3B1D">
        <w:rPr>
          <w:sz w:val="28"/>
          <w:szCs w:val="28"/>
        </w:rPr>
        <w:t xml:space="preserve"> заявок на участие в открытом конкурсе на право получения свидетель</w:t>
      </w:r>
      <w:r w:rsidR="005B7819">
        <w:rPr>
          <w:sz w:val="28"/>
          <w:szCs w:val="28"/>
        </w:rPr>
        <w:t xml:space="preserve">ства об осуществлении </w:t>
      </w:r>
      <w:r w:rsidR="00BA56C2" w:rsidRPr="001C3B1D">
        <w:rPr>
          <w:sz w:val="28"/>
          <w:szCs w:val="28"/>
        </w:rPr>
        <w:t>регулярных перевозок</w:t>
      </w:r>
      <w:r w:rsidR="005B7819">
        <w:rPr>
          <w:sz w:val="28"/>
          <w:szCs w:val="28"/>
        </w:rPr>
        <w:t xml:space="preserve"> по </w:t>
      </w:r>
      <w:r w:rsidR="00A33108">
        <w:rPr>
          <w:sz w:val="28"/>
          <w:szCs w:val="28"/>
        </w:rPr>
        <w:t xml:space="preserve">муниципальным маршрутам регулярных перевозок по </w:t>
      </w:r>
      <w:r w:rsidR="005B7819">
        <w:rPr>
          <w:sz w:val="28"/>
          <w:szCs w:val="28"/>
        </w:rPr>
        <w:t>нерегулируемым тарифам</w:t>
      </w:r>
      <w:r w:rsidR="008E5595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 xml:space="preserve"> к настоящему постановлению.</w:t>
      </w:r>
      <w:proofErr w:type="gramEnd"/>
    </w:p>
    <w:p w14:paraId="3D07A2B0" w14:textId="37E293A5" w:rsidR="00BA56C2" w:rsidRDefault="00BA56C2" w:rsidP="000F0D2F">
      <w:pPr>
        <w:pStyle w:val="ConsPlusNormal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28FC8A" wp14:editId="74570010">
                <wp:simplePos x="0" y="0"/>
                <wp:positionH relativeFrom="page">
                  <wp:posOffset>1080135</wp:posOffset>
                </wp:positionH>
                <wp:positionV relativeFrom="page">
                  <wp:posOffset>9764395</wp:posOffset>
                </wp:positionV>
                <wp:extent cx="3444240" cy="266700"/>
                <wp:effectExtent l="3810" t="127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CE119" w14:textId="77777777" w:rsidR="00BA56C2" w:rsidRDefault="00BA56C2" w:rsidP="00BA56C2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85.05pt;margin-top:768.85pt;width:271.2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" filled="f" stroked="f">
                <v:textbox inset="0,0,0,0">
                  <w:txbxContent>
                    <w:p w14:paraId="3E6CE119" w14:textId="77777777" w:rsidR="00BA56C2" w:rsidRDefault="00BA56C2" w:rsidP="00BA56C2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C3B1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A060D7">
        <w:rPr>
          <w:sz w:val="28"/>
          <w:szCs w:val="28"/>
        </w:rPr>
        <w:t xml:space="preserve">Утвердить </w:t>
      </w:r>
      <w:proofErr w:type="gramStart"/>
      <w:r w:rsidR="00A060D7">
        <w:rPr>
          <w:sz w:val="28"/>
          <w:szCs w:val="28"/>
        </w:rPr>
        <w:t>т</w:t>
      </w:r>
      <w:hyperlink w:anchor="P211" w:history="1">
        <w:r w:rsidRPr="00056EDE">
          <w:rPr>
            <w:color w:val="000000"/>
            <w:sz w:val="28"/>
            <w:szCs w:val="28"/>
          </w:rPr>
          <w:t>ребования</w:t>
        </w:r>
        <w:proofErr w:type="gramEnd"/>
      </w:hyperlink>
      <w:r w:rsidRPr="001C3B1D">
        <w:rPr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</w:t>
      </w:r>
      <w:r w:rsidR="005B7819">
        <w:rPr>
          <w:sz w:val="28"/>
          <w:szCs w:val="28"/>
        </w:rPr>
        <w:t>ествляющим регулярные перевозки</w:t>
      </w:r>
      <w:r w:rsidRPr="001C3B1D">
        <w:rPr>
          <w:sz w:val="28"/>
          <w:szCs w:val="28"/>
        </w:rPr>
        <w:t xml:space="preserve"> </w:t>
      </w:r>
      <w:r w:rsidR="00A33108">
        <w:rPr>
          <w:sz w:val="28"/>
          <w:szCs w:val="28"/>
        </w:rPr>
        <w:t xml:space="preserve">по </w:t>
      </w:r>
      <w:r w:rsidRPr="001C3B1D">
        <w:rPr>
          <w:sz w:val="28"/>
          <w:szCs w:val="28"/>
        </w:rPr>
        <w:t>нерегулируемым тарифам</w:t>
      </w:r>
      <w:r w:rsidR="00A060D7">
        <w:rPr>
          <w:sz w:val="28"/>
          <w:szCs w:val="28"/>
        </w:rPr>
        <w:t>,</w:t>
      </w:r>
      <w:r w:rsidR="008E5595">
        <w:rPr>
          <w:sz w:val="28"/>
          <w:szCs w:val="28"/>
        </w:rPr>
        <w:t xml:space="preserve"> согласно приложению 2</w:t>
      </w:r>
      <w:r w:rsidR="00A060D7">
        <w:rPr>
          <w:sz w:val="28"/>
          <w:szCs w:val="28"/>
        </w:rPr>
        <w:t xml:space="preserve"> к настоящему постановлению</w:t>
      </w:r>
      <w:r w:rsidRPr="001C3B1D">
        <w:rPr>
          <w:sz w:val="28"/>
          <w:szCs w:val="28"/>
        </w:rPr>
        <w:t>.</w:t>
      </w:r>
    </w:p>
    <w:p w14:paraId="225B1E3A" w14:textId="5F01687C" w:rsidR="00BA56C2" w:rsidRPr="00BA56C2" w:rsidRDefault="00077167" w:rsidP="000F0D2F">
      <w:pPr>
        <w:pStyle w:val="a5"/>
        <w:spacing w:after="0" w:line="360" w:lineRule="exact"/>
        <w:ind w:firstLine="709"/>
        <w:jc w:val="both"/>
        <w:rPr>
          <w:b w:val="0"/>
        </w:rPr>
      </w:pPr>
      <w:r>
        <w:rPr>
          <w:b w:val="0"/>
          <w:szCs w:val="28"/>
        </w:rPr>
        <w:t>3</w:t>
      </w:r>
      <w:r w:rsidR="00BA56C2" w:rsidRPr="00BA56C2">
        <w:rPr>
          <w:b w:val="0"/>
          <w:szCs w:val="28"/>
        </w:rPr>
        <w:t xml:space="preserve">. </w:t>
      </w:r>
      <w:proofErr w:type="gramStart"/>
      <w:r w:rsidR="00BA56C2" w:rsidRPr="00BA56C2">
        <w:rPr>
          <w:b w:val="0"/>
          <w:szCs w:val="28"/>
        </w:rPr>
        <w:t>Признать утратившим силу постановление администрации Пермского района от 03</w:t>
      </w:r>
      <w:r w:rsidR="00025550">
        <w:rPr>
          <w:b w:val="0"/>
          <w:szCs w:val="28"/>
        </w:rPr>
        <w:t xml:space="preserve"> марта </w:t>
      </w:r>
      <w:r w:rsidR="00BA56C2" w:rsidRPr="00BA56C2">
        <w:rPr>
          <w:b w:val="0"/>
          <w:szCs w:val="28"/>
        </w:rPr>
        <w:t>2020</w:t>
      </w:r>
      <w:r w:rsidR="00025550">
        <w:rPr>
          <w:b w:val="0"/>
          <w:szCs w:val="28"/>
        </w:rPr>
        <w:t xml:space="preserve"> г.</w:t>
      </w:r>
      <w:r w:rsidR="00BA56C2" w:rsidRPr="00BA56C2">
        <w:rPr>
          <w:b w:val="0"/>
          <w:szCs w:val="28"/>
        </w:rPr>
        <w:t xml:space="preserve"> № 123 </w:t>
      </w:r>
      <w:r w:rsidR="00BA56C2" w:rsidRPr="000F0D2F">
        <w:rPr>
          <w:b w:val="0"/>
          <w:szCs w:val="28"/>
          <w:shd w:val="clear" w:color="auto" w:fill="FFFFFF" w:themeFill="background1"/>
        </w:rPr>
        <w:t>«</w:t>
      </w:r>
      <w:r w:rsidR="00BA56C2" w:rsidRPr="000F0D2F">
        <w:rPr>
          <w:b w:val="0"/>
          <w:shd w:val="clear" w:color="auto" w:fill="FFFFFF" w:themeFill="background1"/>
        </w:rPr>
        <w:fldChar w:fldCharType="begin"/>
      </w:r>
      <w:r w:rsidR="00BA56C2" w:rsidRPr="000F0D2F">
        <w:rPr>
          <w:b w:val="0"/>
          <w:shd w:val="clear" w:color="auto" w:fill="FFFFFF" w:themeFill="background1"/>
        </w:rPr>
        <w:instrText xml:space="preserve"> DOCPROPERTY  doc_summary  \* MERGEFORMAT </w:instrText>
      </w:r>
      <w:r w:rsidR="00BA56C2" w:rsidRPr="000F0D2F">
        <w:rPr>
          <w:b w:val="0"/>
          <w:shd w:val="clear" w:color="auto" w:fill="FFFFFF" w:themeFill="background1"/>
        </w:rPr>
        <w:fldChar w:fldCharType="separate"/>
      </w:r>
      <w:r w:rsidR="00BA56C2" w:rsidRPr="000F0D2F">
        <w:rPr>
          <w:b w:val="0"/>
          <w:shd w:val="clear" w:color="auto" w:fill="FFFFFF" w:themeFill="background1"/>
        </w:rPr>
        <w:t>Об утверждении шкалы для оценки критериев при оценке и сопоставлении заявок на участие в открытом конкурсе на право получения свидетельства об осуществлении перевозок автомобильным транспортом по муниципальному маршруту регулярных перевозок, требований к юридическим лицам, индивидуальным предпринимателям, участникам договора простого товарищества, осуществляющим регулярные перевозки на муниципальных маршрутах по</w:t>
      </w:r>
      <w:proofErr w:type="gramEnd"/>
      <w:r w:rsidR="00BA56C2" w:rsidRPr="000F0D2F">
        <w:rPr>
          <w:b w:val="0"/>
          <w:shd w:val="clear" w:color="auto" w:fill="FFFFFF" w:themeFill="background1"/>
        </w:rPr>
        <w:t xml:space="preserve"> нерегулируемым тарифам</w:t>
      </w:r>
      <w:r w:rsidR="00BA56C2" w:rsidRPr="000F0D2F">
        <w:rPr>
          <w:b w:val="0"/>
          <w:shd w:val="clear" w:color="auto" w:fill="FFFFFF" w:themeFill="background1"/>
        </w:rPr>
        <w:fldChar w:fldCharType="end"/>
      </w:r>
      <w:r w:rsidR="00C56449">
        <w:rPr>
          <w:b w:val="0"/>
        </w:rPr>
        <w:t>».</w:t>
      </w:r>
    </w:p>
    <w:p w14:paraId="0355E6DD" w14:textId="5A4EEE72" w:rsidR="002C2B78" w:rsidRPr="008F0D52" w:rsidRDefault="00077167" w:rsidP="000F0D2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5547" w:rsidRPr="008F0D52">
        <w:rPr>
          <w:sz w:val="28"/>
          <w:szCs w:val="28"/>
        </w:rPr>
        <w:t xml:space="preserve">. </w:t>
      </w:r>
      <w:r w:rsidR="000F1E6E" w:rsidRPr="008F0D52">
        <w:rPr>
          <w:sz w:val="28"/>
          <w:szCs w:val="28"/>
        </w:rPr>
        <w:t xml:space="preserve"> </w:t>
      </w:r>
      <w:r w:rsidR="002C2B78" w:rsidRPr="008F0D52">
        <w:rPr>
          <w:sz w:val="28"/>
          <w:szCs w:val="28"/>
        </w:rPr>
        <w:t xml:space="preserve">Опубликовать (обнародовать) настоящее постановление в бюллетене муниципального образования «Пермский муниципальный округ» и разместить на сайте Пермского муниципального округа </w:t>
      </w:r>
      <w:r w:rsidR="00C56449">
        <w:rPr>
          <w:sz w:val="28"/>
          <w:szCs w:val="28"/>
        </w:rPr>
        <w:t xml:space="preserve">Пермского края </w:t>
      </w:r>
      <w:r w:rsidR="002C2B78" w:rsidRPr="008F0D52">
        <w:rPr>
          <w:sz w:val="28"/>
          <w:szCs w:val="28"/>
        </w:rPr>
        <w:t>в информационно-телекоммуникационной сети Интернет (</w:t>
      </w:r>
      <w:hyperlink r:id="rId11" w:history="1">
        <w:r w:rsidR="002C2B78" w:rsidRPr="00511B98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2C2B78" w:rsidRPr="00511B98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2C2B78" w:rsidRPr="00511B98">
          <w:rPr>
            <w:rStyle w:val="af0"/>
            <w:color w:val="auto"/>
            <w:sz w:val="28"/>
            <w:szCs w:val="28"/>
            <w:u w:val="none"/>
            <w:lang w:val="en-US"/>
          </w:rPr>
          <w:t>permraion</w:t>
        </w:r>
        <w:proofErr w:type="spellEnd"/>
        <w:r w:rsidR="002C2B78" w:rsidRPr="00511B98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2C2B78" w:rsidRPr="00511B98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2C2B78" w:rsidRPr="00511B98">
          <w:rPr>
            <w:rStyle w:val="af0"/>
            <w:color w:val="auto"/>
            <w:sz w:val="28"/>
            <w:szCs w:val="28"/>
            <w:u w:val="none"/>
          </w:rPr>
          <w:t>).</w:t>
        </w:r>
      </w:hyperlink>
    </w:p>
    <w:p w14:paraId="02D9A5C1" w14:textId="27A06EF5" w:rsidR="002C2B78" w:rsidRPr="008F0D52" w:rsidRDefault="00077167" w:rsidP="000F0D2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2B78" w:rsidRPr="008F0D5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B1C0542" w14:textId="7564F90A" w:rsidR="00E55547" w:rsidRPr="002C2B78" w:rsidRDefault="00077167" w:rsidP="000F0D2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2B78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</w:t>
      </w:r>
      <w:proofErr w:type="gramStart"/>
      <w:r w:rsidR="002C2B78">
        <w:rPr>
          <w:sz w:val="28"/>
          <w:szCs w:val="28"/>
        </w:rPr>
        <w:t>главы администрации Пермского муниципального округа Пермского края</w:t>
      </w:r>
      <w:proofErr w:type="gramEnd"/>
      <w:r w:rsidR="002C2B78">
        <w:rPr>
          <w:sz w:val="28"/>
          <w:szCs w:val="28"/>
        </w:rPr>
        <w:t xml:space="preserve"> </w:t>
      </w:r>
      <w:proofErr w:type="spellStart"/>
      <w:r w:rsidR="002C2B78">
        <w:rPr>
          <w:sz w:val="28"/>
          <w:szCs w:val="28"/>
        </w:rPr>
        <w:t>Варушкина</w:t>
      </w:r>
      <w:proofErr w:type="spellEnd"/>
      <w:r w:rsidR="002C2B78">
        <w:rPr>
          <w:sz w:val="28"/>
          <w:szCs w:val="28"/>
        </w:rPr>
        <w:t xml:space="preserve"> И.А.  </w:t>
      </w:r>
      <w:r w:rsidR="002C2B78" w:rsidRPr="002C2B78">
        <w:rPr>
          <w:sz w:val="28"/>
          <w:szCs w:val="28"/>
        </w:rPr>
        <w:t xml:space="preserve"> </w:t>
      </w:r>
    </w:p>
    <w:p w14:paraId="1D027052" w14:textId="77777777" w:rsidR="00E55547" w:rsidRPr="002C2B78" w:rsidRDefault="00E55547" w:rsidP="000F0D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019BCE3D" w14:textId="77777777" w:rsidR="00E55547" w:rsidRPr="002C2B78" w:rsidRDefault="00E55547" w:rsidP="000F0D2F">
      <w:pPr>
        <w:pStyle w:val="ConsPlusNormal"/>
        <w:spacing w:line="360" w:lineRule="exact"/>
        <w:jc w:val="both"/>
        <w:rPr>
          <w:sz w:val="28"/>
          <w:szCs w:val="28"/>
        </w:rPr>
      </w:pPr>
    </w:p>
    <w:p w14:paraId="5143A279" w14:textId="2DD89E2B" w:rsidR="00E55547" w:rsidRPr="008E6EE8" w:rsidRDefault="002C2B78" w:rsidP="000F0D2F">
      <w:pPr>
        <w:pStyle w:val="ConsPlusNormal"/>
        <w:spacing w:line="360" w:lineRule="exact"/>
        <w:jc w:val="both"/>
        <w:rPr>
          <w:szCs w:val="28"/>
        </w:rPr>
      </w:pPr>
      <w:r w:rsidRPr="002C2B78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округа  </w:t>
      </w:r>
      <w:r w:rsidR="00E55547">
        <w:rPr>
          <w:sz w:val="28"/>
          <w:szCs w:val="28"/>
        </w:rPr>
        <w:t xml:space="preserve">                                                        В.</w:t>
      </w:r>
      <w:r>
        <w:rPr>
          <w:sz w:val="28"/>
          <w:szCs w:val="28"/>
        </w:rPr>
        <w:t>Ю.</w:t>
      </w:r>
      <w:r w:rsidR="00E55547">
        <w:rPr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 w:rsidR="00E55547">
        <w:rPr>
          <w:sz w:val="28"/>
          <w:szCs w:val="28"/>
        </w:rPr>
        <w:t>ов</w:t>
      </w:r>
    </w:p>
    <w:p w14:paraId="2ABCCB29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27CAA29C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23CD15C9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0DC99511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096866E0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053F4D9C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68910FEB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201C97B2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03F43BAB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4BA1C4D8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18097560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3DE8B4B9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2369F6AC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3328F9AE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45FF4FD8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6EA6DDD1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12989EA7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040B2C96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3BBA27A5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6F8FC4C6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797CC5FB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42C41729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77B945CD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19B7B55F" w14:textId="77777777" w:rsidR="00E55547" w:rsidRDefault="00E55547" w:rsidP="00E55547">
      <w:pPr>
        <w:spacing w:line="240" w:lineRule="exact"/>
        <w:ind w:left="5812"/>
        <w:rPr>
          <w:szCs w:val="28"/>
        </w:rPr>
      </w:pPr>
    </w:p>
    <w:p w14:paraId="305B1C1F" w14:textId="2C048B48" w:rsidR="00E55547" w:rsidRPr="008E5595" w:rsidRDefault="008E5595" w:rsidP="008E5595">
      <w:pPr>
        <w:spacing w:line="240" w:lineRule="exact"/>
        <w:ind w:left="5670"/>
        <w:rPr>
          <w:sz w:val="28"/>
          <w:szCs w:val="28"/>
        </w:rPr>
      </w:pPr>
      <w:r w:rsidRPr="008E5595">
        <w:rPr>
          <w:sz w:val="28"/>
          <w:szCs w:val="28"/>
        </w:rPr>
        <w:lastRenderedPageBreak/>
        <w:t>Приложение 1</w:t>
      </w:r>
    </w:p>
    <w:p w14:paraId="3252B06C" w14:textId="440DF504" w:rsidR="00E55547" w:rsidRPr="008E5595" w:rsidRDefault="008E5595" w:rsidP="008E5595">
      <w:pPr>
        <w:spacing w:line="240" w:lineRule="exact"/>
        <w:ind w:left="5670"/>
        <w:rPr>
          <w:sz w:val="28"/>
          <w:szCs w:val="28"/>
        </w:rPr>
      </w:pPr>
      <w:r w:rsidRPr="008E5595">
        <w:rPr>
          <w:sz w:val="28"/>
          <w:szCs w:val="28"/>
        </w:rPr>
        <w:t xml:space="preserve">к </w:t>
      </w:r>
      <w:r w:rsidR="00C56449" w:rsidRPr="008E5595">
        <w:rPr>
          <w:sz w:val="28"/>
          <w:szCs w:val="28"/>
        </w:rPr>
        <w:t>п</w:t>
      </w:r>
      <w:r w:rsidR="00A96745" w:rsidRPr="008E5595">
        <w:rPr>
          <w:sz w:val="28"/>
          <w:szCs w:val="28"/>
        </w:rPr>
        <w:t>остановлени</w:t>
      </w:r>
      <w:r w:rsidRPr="008E5595">
        <w:rPr>
          <w:sz w:val="28"/>
          <w:szCs w:val="28"/>
        </w:rPr>
        <w:t>ю</w:t>
      </w:r>
      <w:r w:rsidR="00A96745" w:rsidRPr="008E5595">
        <w:rPr>
          <w:sz w:val="28"/>
          <w:szCs w:val="28"/>
        </w:rPr>
        <w:t xml:space="preserve"> администрации Пермского муниципального округа Пермского края </w:t>
      </w:r>
      <w:r w:rsidR="00E55547" w:rsidRPr="008E5595">
        <w:rPr>
          <w:sz w:val="28"/>
          <w:szCs w:val="28"/>
        </w:rPr>
        <w:t xml:space="preserve">  </w:t>
      </w:r>
    </w:p>
    <w:p w14:paraId="2946ECF0" w14:textId="3D3E5E25" w:rsidR="00E55547" w:rsidRPr="008E5595" w:rsidRDefault="00E55547" w:rsidP="008E5595">
      <w:pPr>
        <w:spacing w:line="240" w:lineRule="exact"/>
        <w:ind w:left="5670"/>
        <w:rPr>
          <w:sz w:val="28"/>
          <w:szCs w:val="28"/>
        </w:rPr>
      </w:pPr>
      <w:proofErr w:type="gramStart"/>
      <w:r w:rsidRPr="008E5595">
        <w:rPr>
          <w:sz w:val="28"/>
          <w:szCs w:val="28"/>
        </w:rPr>
        <w:t>от</w:t>
      </w:r>
      <w:r w:rsidR="00760DA8" w:rsidRPr="008E5595">
        <w:rPr>
          <w:sz w:val="28"/>
          <w:szCs w:val="28"/>
        </w:rPr>
        <w:t xml:space="preserve">                      </w:t>
      </w:r>
      <w:r w:rsidRPr="008E5595">
        <w:rPr>
          <w:sz w:val="28"/>
          <w:szCs w:val="28"/>
        </w:rPr>
        <w:t>№</w:t>
      </w:r>
      <w:proofErr w:type="gramEnd"/>
    </w:p>
    <w:p w14:paraId="20FC7487" w14:textId="77777777" w:rsidR="00E55547" w:rsidRPr="002550F6" w:rsidRDefault="00E55547" w:rsidP="00E55547">
      <w:pPr>
        <w:ind w:firstLine="709"/>
        <w:jc w:val="right"/>
        <w:rPr>
          <w:szCs w:val="28"/>
        </w:rPr>
      </w:pPr>
    </w:p>
    <w:p w14:paraId="7F3F0B61" w14:textId="77777777" w:rsidR="008E5595" w:rsidRDefault="008E5595" w:rsidP="00BA5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7B8913" w14:textId="77777777" w:rsidR="00BA56C2" w:rsidRDefault="00BA56C2" w:rsidP="00BA5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B1D">
        <w:rPr>
          <w:rFonts w:ascii="Times New Roman" w:hAnsi="Times New Roman" w:cs="Times New Roman"/>
          <w:sz w:val="28"/>
          <w:szCs w:val="28"/>
        </w:rPr>
        <w:t>ШКАЛА</w:t>
      </w:r>
    </w:p>
    <w:p w14:paraId="2786F10A" w14:textId="4EF35797" w:rsidR="00C56449" w:rsidRPr="001C3B1D" w:rsidRDefault="00C56449" w:rsidP="00C5644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критериев </w:t>
      </w:r>
      <w:r w:rsidR="0022734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227344">
        <w:rPr>
          <w:rFonts w:ascii="Times New Roman" w:hAnsi="Times New Roman" w:cs="Times New Roman"/>
          <w:sz w:val="28"/>
          <w:szCs w:val="28"/>
        </w:rPr>
        <w:t>и и 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заявок на участие в открытом конкурсе на право получения свидетельств об осуществлении перевозок </w:t>
      </w:r>
      <w:r w:rsidR="005B7819">
        <w:rPr>
          <w:rFonts w:ascii="Times New Roman" w:hAnsi="Times New Roman" w:cs="Times New Roman"/>
          <w:sz w:val="28"/>
          <w:szCs w:val="28"/>
        </w:rPr>
        <w:t xml:space="preserve">по </w:t>
      </w:r>
      <w:r w:rsidR="00A33108">
        <w:rPr>
          <w:rFonts w:ascii="Times New Roman" w:hAnsi="Times New Roman" w:cs="Times New Roman"/>
          <w:sz w:val="28"/>
          <w:szCs w:val="28"/>
        </w:rPr>
        <w:t xml:space="preserve">муниципальным маршрутам регулярных перевозок по </w:t>
      </w:r>
      <w:r w:rsidR="005B7819">
        <w:rPr>
          <w:rFonts w:ascii="Times New Roman" w:hAnsi="Times New Roman" w:cs="Times New Roman"/>
          <w:sz w:val="28"/>
          <w:szCs w:val="28"/>
        </w:rPr>
        <w:t>нерегулируемым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BBFE1F2" w14:textId="77777777" w:rsidR="00BA56C2" w:rsidRPr="001C3B1D" w:rsidRDefault="00BA56C2" w:rsidP="00BA56C2">
      <w:pPr>
        <w:pStyle w:val="ConsPlusNormal"/>
        <w:jc w:val="both"/>
        <w:rPr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86"/>
        <w:gridCol w:w="142"/>
        <w:gridCol w:w="1985"/>
        <w:gridCol w:w="1276"/>
      </w:tblGrid>
      <w:tr w:rsidR="00BA56C2" w14:paraId="76AFB5A5" w14:textId="77777777" w:rsidTr="00DE3206">
        <w:tc>
          <w:tcPr>
            <w:tcW w:w="913" w:type="dxa"/>
          </w:tcPr>
          <w:p w14:paraId="7B4BD5F4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 w:rsidRPr="001C3B1D">
              <w:rPr>
                <w:sz w:val="28"/>
                <w:szCs w:val="28"/>
              </w:rPr>
              <w:t>п</w:t>
            </w:r>
            <w:proofErr w:type="gramEnd"/>
            <w:r w:rsidRPr="001C3B1D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  <w:gridSpan w:val="2"/>
          </w:tcPr>
          <w:p w14:paraId="275BF810" w14:textId="543531FC" w:rsidR="00BA56C2" w:rsidRPr="001C3B1D" w:rsidRDefault="00BA56C2" w:rsidP="000F0D2F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1C3B1D">
              <w:rPr>
                <w:sz w:val="28"/>
                <w:szCs w:val="28"/>
              </w:rPr>
              <w:t>критерия оценки</w:t>
            </w:r>
            <w:proofErr w:type="gramEnd"/>
            <w:r w:rsidRPr="001C3B1D">
              <w:rPr>
                <w:sz w:val="28"/>
                <w:szCs w:val="28"/>
              </w:rPr>
              <w:t xml:space="preserve"> </w:t>
            </w:r>
            <w:r w:rsidR="000F0D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E485269" w14:textId="77777777" w:rsidR="00BA56C2" w:rsidRPr="001C3B1D" w:rsidRDefault="00BA56C2" w:rsidP="00274B6A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Примечание</w:t>
            </w:r>
          </w:p>
        </w:tc>
        <w:tc>
          <w:tcPr>
            <w:tcW w:w="1276" w:type="dxa"/>
          </w:tcPr>
          <w:p w14:paraId="078E3C65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Баллы</w:t>
            </w:r>
          </w:p>
        </w:tc>
      </w:tr>
      <w:tr w:rsidR="00BA56C2" w14:paraId="65229E7C" w14:textId="77777777" w:rsidTr="00DE3206">
        <w:trPr>
          <w:trHeight w:val="124"/>
        </w:trPr>
        <w:tc>
          <w:tcPr>
            <w:tcW w:w="913" w:type="dxa"/>
          </w:tcPr>
          <w:p w14:paraId="4DD87BAB" w14:textId="77777777" w:rsidR="00BA56C2" w:rsidRPr="00F864E1" w:rsidRDefault="00BA56C2" w:rsidP="00274B6A">
            <w:pPr>
              <w:pStyle w:val="ConsPlusNormal"/>
              <w:jc w:val="center"/>
            </w:pPr>
            <w:r w:rsidRPr="00F864E1">
              <w:t>1</w:t>
            </w:r>
          </w:p>
        </w:tc>
        <w:tc>
          <w:tcPr>
            <w:tcW w:w="5528" w:type="dxa"/>
            <w:gridSpan w:val="2"/>
          </w:tcPr>
          <w:p w14:paraId="050D2B36" w14:textId="77777777" w:rsidR="00BA56C2" w:rsidRPr="00F864E1" w:rsidRDefault="00BA56C2" w:rsidP="00274B6A">
            <w:pPr>
              <w:pStyle w:val="ConsPlusNormal"/>
              <w:contextualSpacing/>
              <w:jc w:val="center"/>
            </w:pPr>
            <w:r w:rsidRPr="00F864E1">
              <w:t>2</w:t>
            </w:r>
          </w:p>
        </w:tc>
        <w:tc>
          <w:tcPr>
            <w:tcW w:w="1985" w:type="dxa"/>
          </w:tcPr>
          <w:p w14:paraId="653F7328" w14:textId="77777777" w:rsidR="00BA56C2" w:rsidRPr="00F864E1" w:rsidRDefault="00BA56C2" w:rsidP="00274B6A">
            <w:pPr>
              <w:pStyle w:val="ConsPlusNormal"/>
              <w:contextualSpacing/>
              <w:jc w:val="center"/>
            </w:pPr>
            <w:r w:rsidRPr="00F864E1">
              <w:t>3</w:t>
            </w:r>
          </w:p>
        </w:tc>
        <w:tc>
          <w:tcPr>
            <w:tcW w:w="1276" w:type="dxa"/>
          </w:tcPr>
          <w:p w14:paraId="4E31BCBE" w14:textId="77777777" w:rsidR="00BA56C2" w:rsidRPr="00F864E1" w:rsidRDefault="00BA56C2" w:rsidP="00274B6A">
            <w:pPr>
              <w:pStyle w:val="ConsPlusNormal"/>
              <w:jc w:val="center"/>
            </w:pPr>
            <w:r w:rsidRPr="00F864E1">
              <w:t>4</w:t>
            </w:r>
          </w:p>
        </w:tc>
      </w:tr>
      <w:tr w:rsidR="00BA56C2" w14:paraId="007EB75C" w14:textId="77777777" w:rsidTr="00DE3206">
        <w:tc>
          <w:tcPr>
            <w:tcW w:w="913" w:type="dxa"/>
          </w:tcPr>
          <w:p w14:paraId="7C26F69A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4"/>
          </w:tcPr>
          <w:p w14:paraId="7DCF5FF0" w14:textId="279357C6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C3B1D">
              <w:rPr>
                <w:sz w:val="28"/>
                <w:szCs w:val="28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право получения свидетель</w:t>
            </w:r>
            <w:r w:rsidR="00A33108">
              <w:rPr>
                <w:sz w:val="28"/>
                <w:szCs w:val="28"/>
              </w:rPr>
              <w:t>ств об осуществлении перевозок</w:t>
            </w:r>
            <w:r w:rsidRPr="001C3B1D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м</w:t>
            </w:r>
            <w:r w:rsidRPr="001C3B1D">
              <w:rPr>
                <w:sz w:val="28"/>
                <w:szCs w:val="28"/>
              </w:rPr>
              <w:t>униципальн</w:t>
            </w:r>
            <w:r w:rsidR="00A33108">
              <w:rPr>
                <w:sz w:val="28"/>
                <w:szCs w:val="28"/>
              </w:rPr>
              <w:t>ым</w:t>
            </w:r>
            <w:r w:rsidRPr="001C3B1D">
              <w:rPr>
                <w:sz w:val="28"/>
                <w:szCs w:val="28"/>
              </w:rPr>
              <w:t xml:space="preserve"> маршрут</w:t>
            </w:r>
            <w:r w:rsidR="00A33108">
              <w:rPr>
                <w:sz w:val="28"/>
                <w:szCs w:val="28"/>
              </w:rPr>
              <w:t>ам</w:t>
            </w:r>
            <w:r w:rsidRPr="001C3B1D">
              <w:rPr>
                <w:sz w:val="28"/>
                <w:szCs w:val="28"/>
              </w:rPr>
              <w:t xml:space="preserve"> регулярных перевозок </w:t>
            </w:r>
            <w:r w:rsidR="00A33108">
              <w:rPr>
                <w:sz w:val="28"/>
                <w:szCs w:val="28"/>
              </w:rPr>
              <w:t xml:space="preserve">по нерегулируемым тарифам </w:t>
            </w:r>
            <w:r w:rsidRPr="001C3B1D">
              <w:rPr>
                <w:sz w:val="28"/>
                <w:szCs w:val="28"/>
              </w:rPr>
              <w:t xml:space="preserve">(далее </w:t>
            </w:r>
            <w:r w:rsidR="00B07667">
              <w:rPr>
                <w:sz w:val="28"/>
                <w:szCs w:val="28"/>
              </w:rPr>
              <w:t>–</w:t>
            </w:r>
            <w:r w:rsidRPr="001C3B1D">
              <w:rPr>
                <w:sz w:val="28"/>
                <w:szCs w:val="28"/>
              </w:rPr>
              <w:t xml:space="preserve"> открытый конкурс) на </w:t>
            </w:r>
            <w:r w:rsidR="00A33108">
              <w:rPr>
                <w:sz w:val="28"/>
                <w:szCs w:val="28"/>
              </w:rPr>
              <w:t>официальном сайте</w:t>
            </w:r>
            <w:proofErr w:type="gramEnd"/>
            <w:r w:rsidR="00A33108">
              <w:rPr>
                <w:sz w:val="28"/>
                <w:szCs w:val="28"/>
              </w:rPr>
              <w:t xml:space="preserve"> </w:t>
            </w:r>
            <w:proofErr w:type="gramStart"/>
            <w:r w:rsidRPr="001C3B1D">
              <w:rPr>
                <w:sz w:val="28"/>
                <w:szCs w:val="28"/>
              </w:rPr>
              <w:t xml:space="preserve">организатора открытого конкурса в информационно-телекоммуникационной сети Интернет (далее </w:t>
            </w:r>
            <w:r w:rsidR="00B07667">
              <w:rPr>
                <w:sz w:val="28"/>
                <w:szCs w:val="28"/>
              </w:rPr>
              <w:t>–</w:t>
            </w:r>
            <w:r w:rsidRPr="001C3B1D">
              <w:rPr>
                <w:sz w:val="28"/>
                <w:szCs w:val="28"/>
              </w:rPr>
              <w:t xml:space="preserve"> дата размещения извещения), в расчете на 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 (далее </w:t>
            </w:r>
            <w:r w:rsidR="00B07667">
              <w:rPr>
                <w:sz w:val="28"/>
                <w:szCs w:val="28"/>
              </w:rPr>
              <w:t>–</w:t>
            </w:r>
            <w:r w:rsidRPr="001C3B1D">
              <w:rPr>
                <w:sz w:val="28"/>
                <w:szCs w:val="28"/>
              </w:rPr>
              <w:t xml:space="preserve"> договоры обязательного страхования гражданской ответственности), действовавшими в течение года, предшествующего дате размещения извещения.</w:t>
            </w:r>
            <w:proofErr w:type="gramEnd"/>
          </w:p>
          <w:p w14:paraId="17A06CE8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C3B1D">
              <w:rPr>
                <w:sz w:val="28"/>
                <w:szCs w:val="28"/>
              </w:rPr>
              <w:t>Среднее количество транспортных средств рассчитывается исходя из общего количества в течение года, предшествующего дате размещения извещения,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средств, отнесенного к количеству дней в соответствующем году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</w:tr>
      <w:tr w:rsidR="00BA56C2" w14:paraId="00ED5146" w14:textId="77777777" w:rsidTr="00DE3206">
        <w:tc>
          <w:tcPr>
            <w:tcW w:w="913" w:type="dxa"/>
          </w:tcPr>
          <w:p w14:paraId="184CE4F2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1.1</w:t>
            </w:r>
          </w:p>
        </w:tc>
        <w:tc>
          <w:tcPr>
            <w:tcW w:w="5528" w:type="dxa"/>
            <w:gridSpan w:val="2"/>
          </w:tcPr>
          <w:p w14:paraId="58F7C4F2" w14:textId="0A175055" w:rsidR="00BA56C2" w:rsidRPr="001C3B1D" w:rsidRDefault="00B07667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A56C2" w:rsidRPr="001C3B1D">
              <w:rPr>
                <w:sz w:val="28"/>
                <w:szCs w:val="28"/>
              </w:rPr>
              <w:t>тсутствует</w:t>
            </w:r>
          </w:p>
        </w:tc>
        <w:tc>
          <w:tcPr>
            <w:tcW w:w="1985" w:type="dxa"/>
          </w:tcPr>
          <w:p w14:paraId="344B63A0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39BBFA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0</w:t>
            </w:r>
          </w:p>
        </w:tc>
      </w:tr>
      <w:tr w:rsidR="00BA56C2" w14:paraId="36B759A1" w14:textId="77777777" w:rsidTr="00DE3206">
        <w:tc>
          <w:tcPr>
            <w:tcW w:w="913" w:type="dxa"/>
          </w:tcPr>
          <w:p w14:paraId="2B5389AD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1.2</w:t>
            </w:r>
          </w:p>
        </w:tc>
        <w:tc>
          <w:tcPr>
            <w:tcW w:w="5528" w:type="dxa"/>
            <w:gridSpan w:val="2"/>
          </w:tcPr>
          <w:p w14:paraId="3ED581DF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3B1D">
              <w:rPr>
                <w:sz w:val="28"/>
                <w:szCs w:val="28"/>
              </w:rPr>
              <w:t>выше 0 до 0,1 (включительно)</w:t>
            </w:r>
          </w:p>
        </w:tc>
        <w:tc>
          <w:tcPr>
            <w:tcW w:w="1985" w:type="dxa"/>
          </w:tcPr>
          <w:p w14:paraId="1FE42D0E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FA13693" w14:textId="27F4C50F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-</w:t>
            </w:r>
            <w:r w:rsidR="00025550">
              <w:rPr>
                <w:sz w:val="28"/>
                <w:szCs w:val="28"/>
              </w:rPr>
              <w:t xml:space="preserve"> </w:t>
            </w:r>
            <w:r w:rsidRPr="001C3B1D">
              <w:rPr>
                <w:sz w:val="28"/>
                <w:szCs w:val="28"/>
              </w:rPr>
              <w:t>4</w:t>
            </w:r>
          </w:p>
        </w:tc>
      </w:tr>
      <w:tr w:rsidR="00BA56C2" w14:paraId="084B1660" w14:textId="77777777" w:rsidTr="00DE3206">
        <w:tc>
          <w:tcPr>
            <w:tcW w:w="913" w:type="dxa"/>
          </w:tcPr>
          <w:p w14:paraId="32F6401E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5528" w:type="dxa"/>
            <w:gridSpan w:val="2"/>
          </w:tcPr>
          <w:p w14:paraId="2C069571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3B1D">
              <w:rPr>
                <w:sz w:val="28"/>
                <w:szCs w:val="28"/>
              </w:rPr>
              <w:t>выше 0,1 до 0,2 (включительно)</w:t>
            </w:r>
          </w:p>
        </w:tc>
        <w:tc>
          <w:tcPr>
            <w:tcW w:w="1985" w:type="dxa"/>
          </w:tcPr>
          <w:p w14:paraId="139FE206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AECF13" w14:textId="74389874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-</w:t>
            </w:r>
            <w:r w:rsidR="00025550">
              <w:rPr>
                <w:sz w:val="28"/>
                <w:szCs w:val="28"/>
              </w:rPr>
              <w:t xml:space="preserve"> </w:t>
            </w:r>
            <w:r w:rsidRPr="001C3B1D">
              <w:rPr>
                <w:sz w:val="28"/>
                <w:szCs w:val="28"/>
              </w:rPr>
              <w:t>8</w:t>
            </w:r>
          </w:p>
        </w:tc>
      </w:tr>
      <w:tr w:rsidR="00BA56C2" w14:paraId="7BCDCC2E" w14:textId="77777777" w:rsidTr="00DE3206">
        <w:tc>
          <w:tcPr>
            <w:tcW w:w="913" w:type="dxa"/>
          </w:tcPr>
          <w:p w14:paraId="43A607C3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1.4</w:t>
            </w:r>
          </w:p>
        </w:tc>
        <w:tc>
          <w:tcPr>
            <w:tcW w:w="5528" w:type="dxa"/>
            <w:gridSpan w:val="2"/>
          </w:tcPr>
          <w:p w14:paraId="5384A818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3B1D">
              <w:rPr>
                <w:sz w:val="28"/>
                <w:szCs w:val="28"/>
              </w:rPr>
              <w:t>выше 0,2</w:t>
            </w:r>
          </w:p>
        </w:tc>
        <w:tc>
          <w:tcPr>
            <w:tcW w:w="1985" w:type="dxa"/>
          </w:tcPr>
          <w:p w14:paraId="23317BE9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C6B4F4B" w14:textId="3A3D8956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-</w:t>
            </w:r>
            <w:r w:rsidR="00025550">
              <w:rPr>
                <w:sz w:val="28"/>
                <w:szCs w:val="28"/>
              </w:rPr>
              <w:t xml:space="preserve"> </w:t>
            </w:r>
            <w:r w:rsidRPr="001C3B1D">
              <w:rPr>
                <w:sz w:val="28"/>
                <w:szCs w:val="28"/>
              </w:rPr>
              <w:t>12</w:t>
            </w:r>
          </w:p>
        </w:tc>
      </w:tr>
      <w:tr w:rsidR="00BA56C2" w14:paraId="16FCB2FE" w14:textId="77777777" w:rsidTr="00DE3206">
        <w:tc>
          <w:tcPr>
            <w:tcW w:w="913" w:type="dxa"/>
          </w:tcPr>
          <w:p w14:paraId="211EFC0C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4"/>
          </w:tcPr>
          <w:p w14:paraId="3CB80B16" w14:textId="28B8E7F5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C3B1D">
              <w:rPr>
                <w:sz w:val="28"/>
                <w:szCs w:val="28"/>
              </w:rPr>
              <w:t>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</w:t>
            </w:r>
            <w:r w:rsidR="00A33108">
              <w:rPr>
                <w:sz w:val="28"/>
                <w:szCs w:val="28"/>
              </w:rPr>
              <w:t>и муниципальных контрактах либо</w:t>
            </w:r>
            <w:r>
              <w:rPr>
                <w:sz w:val="28"/>
                <w:szCs w:val="28"/>
              </w:rPr>
              <w:t xml:space="preserve"> </w:t>
            </w:r>
            <w:r w:rsidRPr="001C3B1D">
              <w:rPr>
                <w:sz w:val="28"/>
                <w:szCs w:val="28"/>
              </w:rPr>
              <w:t>заверенными копиями свидетельств об осуществлении перевозок по маршрут</w:t>
            </w:r>
            <w:r w:rsidR="00A20295">
              <w:rPr>
                <w:sz w:val="28"/>
                <w:szCs w:val="28"/>
              </w:rPr>
              <w:t>ам</w:t>
            </w:r>
            <w:r w:rsidRPr="001C3B1D">
              <w:rPr>
                <w:sz w:val="28"/>
                <w:szCs w:val="28"/>
              </w:rPr>
              <w:t xml:space="preserve">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</w:t>
            </w:r>
            <w:r w:rsidR="00A20295">
              <w:rPr>
                <w:sz w:val="28"/>
                <w:szCs w:val="28"/>
              </w:rPr>
              <w:t xml:space="preserve">пассажирских </w:t>
            </w:r>
            <w:r w:rsidRPr="001C3B1D">
              <w:rPr>
                <w:sz w:val="28"/>
                <w:szCs w:val="28"/>
              </w:rPr>
              <w:t>перевозок по маршрутам регулярных перевозок, или иных документов, предусмотренных нормативными правовыми</w:t>
            </w:r>
            <w:proofErr w:type="gramEnd"/>
            <w:r w:rsidRPr="001C3B1D">
              <w:rPr>
                <w:sz w:val="28"/>
                <w:szCs w:val="28"/>
              </w:rPr>
              <w:t xml:space="preserve"> актами субъектов Российской Федерации, муниципальными нормативными правовыми актами.</w:t>
            </w:r>
          </w:p>
          <w:p w14:paraId="7B8E23B4" w14:textId="412682E5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C3B1D">
              <w:rPr>
                <w:sz w:val="28"/>
                <w:szCs w:val="28"/>
              </w:rPr>
              <w:t xml:space="preserve">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</w:t>
            </w:r>
            <w:r w:rsidR="00A33108">
              <w:rPr>
                <w:sz w:val="28"/>
                <w:szCs w:val="28"/>
              </w:rPr>
              <w:t>–</w:t>
            </w:r>
            <w:r w:rsidRPr="001C3B1D">
              <w:rPr>
                <w:sz w:val="28"/>
                <w:szCs w:val="28"/>
              </w:rPr>
              <w:t xml:space="preserve"> исходя из среднеарифметического количества полных лет осуществления перевозок по маршрутам регулярных перевозок каждым участником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</w:tr>
      <w:tr w:rsidR="00BA56C2" w14:paraId="69B725F8" w14:textId="77777777" w:rsidTr="00DE3206">
        <w:tc>
          <w:tcPr>
            <w:tcW w:w="913" w:type="dxa"/>
          </w:tcPr>
          <w:p w14:paraId="776B84D3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2.1</w:t>
            </w:r>
          </w:p>
        </w:tc>
        <w:tc>
          <w:tcPr>
            <w:tcW w:w="5386" w:type="dxa"/>
          </w:tcPr>
          <w:p w14:paraId="72D38896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C3B1D">
              <w:rPr>
                <w:sz w:val="28"/>
                <w:szCs w:val="28"/>
              </w:rPr>
              <w:t>олее 10 лет (включительно)</w:t>
            </w:r>
          </w:p>
        </w:tc>
        <w:tc>
          <w:tcPr>
            <w:tcW w:w="2127" w:type="dxa"/>
            <w:gridSpan w:val="2"/>
          </w:tcPr>
          <w:p w14:paraId="382BDEF3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4DEE2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20</w:t>
            </w:r>
          </w:p>
        </w:tc>
      </w:tr>
      <w:tr w:rsidR="00BA56C2" w14:paraId="2D83AE02" w14:textId="77777777" w:rsidTr="00DE3206">
        <w:tc>
          <w:tcPr>
            <w:tcW w:w="913" w:type="dxa"/>
          </w:tcPr>
          <w:p w14:paraId="323878D5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2.2</w:t>
            </w:r>
          </w:p>
        </w:tc>
        <w:tc>
          <w:tcPr>
            <w:tcW w:w="5386" w:type="dxa"/>
          </w:tcPr>
          <w:p w14:paraId="3B803FC6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5 лет (включительно) до 10 лет</w:t>
            </w:r>
          </w:p>
        </w:tc>
        <w:tc>
          <w:tcPr>
            <w:tcW w:w="2127" w:type="dxa"/>
            <w:gridSpan w:val="2"/>
          </w:tcPr>
          <w:p w14:paraId="421B51D7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1F86D0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15</w:t>
            </w:r>
          </w:p>
        </w:tc>
      </w:tr>
      <w:tr w:rsidR="00BA56C2" w14:paraId="7247DE18" w14:textId="77777777" w:rsidTr="00DE3206">
        <w:tc>
          <w:tcPr>
            <w:tcW w:w="913" w:type="dxa"/>
          </w:tcPr>
          <w:p w14:paraId="2FB75167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2.3</w:t>
            </w:r>
          </w:p>
        </w:tc>
        <w:tc>
          <w:tcPr>
            <w:tcW w:w="5386" w:type="dxa"/>
          </w:tcPr>
          <w:p w14:paraId="26BAAB9E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3 лет (включительно) до 5 лет</w:t>
            </w:r>
          </w:p>
        </w:tc>
        <w:tc>
          <w:tcPr>
            <w:tcW w:w="2127" w:type="dxa"/>
            <w:gridSpan w:val="2"/>
          </w:tcPr>
          <w:p w14:paraId="6256A603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2BA439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10</w:t>
            </w:r>
          </w:p>
        </w:tc>
      </w:tr>
      <w:tr w:rsidR="00BA56C2" w14:paraId="2DF5ECD8" w14:textId="77777777" w:rsidTr="00DE3206">
        <w:tc>
          <w:tcPr>
            <w:tcW w:w="913" w:type="dxa"/>
          </w:tcPr>
          <w:p w14:paraId="4A20322F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2.4</w:t>
            </w:r>
          </w:p>
        </w:tc>
        <w:tc>
          <w:tcPr>
            <w:tcW w:w="5386" w:type="dxa"/>
          </w:tcPr>
          <w:p w14:paraId="50320B77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1 года (включительно) до 3 лет</w:t>
            </w:r>
          </w:p>
        </w:tc>
        <w:tc>
          <w:tcPr>
            <w:tcW w:w="2127" w:type="dxa"/>
            <w:gridSpan w:val="2"/>
          </w:tcPr>
          <w:p w14:paraId="2AEEBEA1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13FDA2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5</w:t>
            </w:r>
          </w:p>
        </w:tc>
      </w:tr>
      <w:tr w:rsidR="00BA56C2" w14:paraId="3EC44AE3" w14:textId="77777777" w:rsidTr="00DE3206">
        <w:tc>
          <w:tcPr>
            <w:tcW w:w="913" w:type="dxa"/>
          </w:tcPr>
          <w:p w14:paraId="4E8BEEC3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2.5</w:t>
            </w:r>
          </w:p>
        </w:tc>
        <w:tc>
          <w:tcPr>
            <w:tcW w:w="5386" w:type="dxa"/>
          </w:tcPr>
          <w:p w14:paraId="695395F0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C3B1D">
              <w:rPr>
                <w:sz w:val="28"/>
                <w:szCs w:val="28"/>
              </w:rPr>
              <w:t>енее 1 года</w:t>
            </w:r>
          </w:p>
        </w:tc>
        <w:tc>
          <w:tcPr>
            <w:tcW w:w="2127" w:type="dxa"/>
            <w:gridSpan w:val="2"/>
          </w:tcPr>
          <w:p w14:paraId="46AC15FE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2D48A23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</w:tr>
      <w:tr w:rsidR="00BA56C2" w14:paraId="17C79C94" w14:textId="77777777" w:rsidTr="00DE3206">
        <w:trPr>
          <w:trHeight w:val="1291"/>
        </w:trPr>
        <w:tc>
          <w:tcPr>
            <w:tcW w:w="913" w:type="dxa"/>
          </w:tcPr>
          <w:p w14:paraId="0B79CF11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4"/>
          </w:tcPr>
          <w:p w14:paraId="5B098887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      </w:r>
            <w:r>
              <w:rPr>
                <w:sz w:val="28"/>
                <w:szCs w:val="28"/>
              </w:rPr>
              <w:t>:</w:t>
            </w:r>
          </w:p>
        </w:tc>
      </w:tr>
      <w:tr w:rsidR="00BA56C2" w14:paraId="2001C1C9" w14:textId="77777777" w:rsidTr="00DE3206">
        <w:tc>
          <w:tcPr>
            <w:tcW w:w="913" w:type="dxa"/>
          </w:tcPr>
          <w:p w14:paraId="5FCEA511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3.1</w:t>
            </w:r>
          </w:p>
        </w:tc>
        <w:tc>
          <w:tcPr>
            <w:tcW w:w="8789" w:type="dxa"/>
            <w:gridSpan w:val="4"/>
          </w:tcPr>
          <w:p w14:paraId="159F6C13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Показатели комфортности транспортных средств, указанных в заявке на участие в открытом конкурсе:</w:t>
            </w:r>
          </w:p>
        </w:tc>
      </w:tr>
      <w:tr w:rsidR="00BA56C2" w14:paraId="2C371CEE" w14:textId="77777777" w:rsidTr="00DE3206">
        <w:tc>
          <w:tcPr>
            <w:tcW w:w="913" w:type="dxa"/>
          </w:tcPr>
          <w:p w14:paraId="7E740E4A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3.1.1</w:t>
            </w:r>
          </w:p>
        </w:tc>
        <w:tc>
          <w:tcPr>
            <w:tcW w:w="5386" w:type="dxa"/>
          </w:tcPr>
          <w:p w14:paraId="455517A8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низкий пол</w:t>
            </w:r>
          </w:p>
        </w:tc>
        <w:tc>
          <w:tcPr>
            <w:tcW w:w="2127" w:type="dxa"/>
            <w:gridSpan w:val="2"/>
          </w:tcPr>
          <w:p w14:paraId="6C795BB9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06C0C44B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</w:t>
            </w:r>
          </w:p>
        </w:tc>
      </w:tr>
      <w:tr w:rsidR="00BA56C2" w14:paraId="5093A201" w14:textId="77777777" w:rsidTr="00DE3206">
        <w:tc>
          <w:tcPr>
            <w:tcW w:w="913" w:type="dxa"/>
          </w:tcPr>
          <w:p w14:paraId="595DAC54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3.1.2</w:t>
            </w:r>
          </w:p>
        </w:tc>
        <w:tc>
          <w:tcPr>
            <w:tcW w:w="5386" w:type="dxa"/>
          </w:tcPr>
          <w:p w14:paraId="79A8F27F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 xml:space="preserve">наличие кондиционера, </w:t>
            </w:r>
            <w:r w:rsidRPr="001C3B1D">
              <w:rPr>
                <w:sz w:val="28"/>
                <w:szCs w:val="28"/>
              </w:rPr>
              <w:lastRenderedPageBreak/>
              <w:t>предусмотренного конструкцией транспортного средства</w:t>
            </w:r>
          </w:p>
        </w:tc>
        <w:tc>
          <w:tcPr>
            <w:tcW w:w="2127" w:type="dxa"/>
            <w:gridSpan w:val="2"/>
          </w:tcPr>
          <w:p w14:paraId="616BE620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lastRenderedPageBreak/>
              <w:t xml:space="preserve">за каждую </w:t>
            </w:r>
            <w:r w:rsidRPr="001C3B1D">
              <w:rPr>
                <w:sz w:val="28"/>
                <w:szCs w:val="28"/>
              </w:rPr>
              <w:lastRenderedPageBreak/>
              <w:t>транспортную единицу</w:t>
            </w:r>
          </w:p>
        </w:tc>
        <w:tc>
          <w:tcPr>
            <w:tcW w:w="1276" w:type="dxa"/>
          </w:tcPr>
          <w:p w14:paraId="03683A5D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lastRenderedPageBreak/>
              <w:t>2</w:t>
            </w:r>
          </w:p>
        </w:tc>
      </w:tr>
      <w:tr w:rsidR="00BA56C2" w14:paraId="094899CD" w14:textId="77777777" w:rsidTr="00DE3206">
        <w:trPr>
          <w:trHeight w:val="915"/>
        </w:trPr>
        <w:tc>
          <w:tcPr>
            <w:tcW w:w="913" w:type="dxa"/>
          </w:tcPr>
          <w:p w14:paraId="4ABADE40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8789" w:type="dxa"/>
            <w:gridSpan w:val="4"/>
          </w:tcPr>
          <w:p w14:paraId="7DED0793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Показатели доступности транспортных средств, указанных в заявке на участие в открытом конкурсе, для пассажиров с ограниченными возможностями передвижения:</w:t>
            </w:r>
          </w:p>
        </w:tc>
      </w:tr>
      <w:tr w:rsidR="00BA56C2" w14:paraId="6E8C50D5" w14:textId="77777777" w:rsidTr="00DE3206">
        <w:tc>
          <w:tcPr>
            <w:tcW w:w="913" w:type="dxa"/>
          </w:tcPr>
          <w:p w14:paraId="414109A4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3.2.1</w:t>
            </w:r>
          </w:p>
        </w:tc>
        <w:tc>
          <w:tcPr>
            <w:tcW w:w="5386" w:type="dxa"/>
          </w:tcPr>
          <w:p w14:paraId="771BACF2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наличие специального оборудования, предусмотренного конструкцией транспортного средства, для осуществления безопасной посадки, высадки, перевозки пассажиров с ограниченными возможностями передвижения</w:t>
            </w:r>
          </w:p>
        </w:tc>
        <w:tc>
          <w:tcPr>
            <w:tcW w:w="2127" w:type="dxa"/>
            <w:gridSpan w:val="2"/>
          </w:tcPr>
          <w:p w14:paraId="7BC6ADFB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100D6FF2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</w:t>
            </w:r>
          </w:p>
        </w:tc>
      </w:tr>
      <w:tr w:rsidR="00BA56C2" w14:paraId="0230BD8A" w14:textId="77777777" w:rsidTr="00DE3206">
        <w:tc>
          <w:tcPr>
            <w:tcW w:w="913" w:type="dxa"/>
          </w:tcPr>
          <w:p w14:paraId="1805E4E1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3.2.2</w:t>
            </w:r>
          </w:p>
        </w:tc>
        <w:tc>
          <w:tcPr>
            <w:tcW w:w="5386" w:type="dxa"/>
          </w:tcPr>
          <w:p w14:paraId="352A5BFD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наличие в салоне транспортного средства автономного речевого информатора для информирования об остановочных пунктах</w:t>
            </w:r>
          </w:p>
        </w:tc>
        <w:tc>
          <w:tcPr>
            <w:tcW w:w="2127" w:type="dxa"/>
            <w:gridSpan w:val="2"/>
          </w:tcPr>
          <w:p w14:paraId="3517C0FE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6B53A012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</w:tr>
      <w:tr w:rsidR="00BA56C2" w14:paraId="6FDB9CE3" w14:textId="77777777" w:rsidTr="00DE3206">
        <w:tc>
          <w:tcPr>
            <w:tcW w:w="913" w:type="dxa"/>
          </w:tcPr>
          <w:p w14:paraId="22E4194C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3.2.3</w:t>
            </w:r>
          </w:p>
        </w:tc>
        <w:tc>
          <w:tcPr>
            <w:tcW w:w="5386" w:type="dxa"/>
          </w:tcPr>
          <w:p w14:paraId="23AB3B00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наличие в салоне транспортного средства электронного информационного табло</w:t>
            </w:r>
          </w:p>
        </w:tc>
        <w:tc>
          <w:tcPr>
            <w:tcW w:w="2127" w:type="dxa"/>
            <w:gridSpan w:val="2"/>
          </w:tcPr>
          <w:p w14:paraId="7B0336EE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455F30B0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</w:tr>
      <w:tr w:rsidR="00BA56C2" w14:paraId="03F35255" w14:textId="77777777" w:rsidTr="00DE3206">
        <w:tc>
          <w:tcPr>
            <w:tcW w:w="913" w:type="dxa"/>
          </w:tcPr>
          <w:p w14:paraId="571E9F35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3.2.4</w:t>
            </w:r>
          </w:p>
        </w:tc>
        <w:tc>
          <w:tcPr>
            <w:tcW w:w="5386" w:type="dxa"/>
          </w:tcPr>
          <w:p w14:paraId="4CCE9FED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 xml:space="preserve">наличие </w:t>
            </w:r>
            <w:proofErr w:type="gramStart"/>
            <w:r w:rsidRPr="001C3B1D">
              <w:rPr>
                <w:sz w:val="28"/>
                <w:szCs w:val="28"/>
              </w:rPr>
              <w:t>системы контроля температуры воздуха</w:t>
            </w:r>
            <w:proofErr w:type="gramEnd"/>
            <w:r w:rsidRPr="001C3B1D">
              <w:rPr>
                <w:sz w:val="28"/>
                <w:szCs w:val="28"/>
              </w:rPr>
              <w:t xml:space="preserve"> в салоне транспортного средства</w:t>
            </w:r>
          </w:p>
        </w:tc>
        <w:tc>
          <w:tcPr>
            <w:tcW w:w="2127" w:type="dxa"/>
            <w:gridSpan w:val="2"/>
          </w:tcPr>
          <w:p w14:paraId="2DDA219D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244847B3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</w:tr>
      <w:tr w:rsidR="00BA56C2" w14:paraId="788C0566" w14:textId="77777777" w:rsidTr="00DE3206">
        <w:tc>
          <w:tcPr>
            <w:tcW w:w="913" w:type="dxa"/>
          </w:tcPr>
          <w:p w14:paraId="28AA321D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3.2.5</w:t>
            </w:r>
          </w:p>
        </w:tc>
        <w:tc>
          <w:tcPr>
            <w:tcW w:w="5386" w:type="dxa"/>
          </w:tcPr>
          <w:p w14:paraId="245154F5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наличие системы безналичной оплаты проезда</w:t>
            </w:r>
          </w:p>
        </w:tc>
        <w:tc>
          <w:tcPr>
            <w:tcW w:w="2127" w:type="dxa"/>
            <w:gridSpan w:val="2"/>
          </w:tcPr>
          <w:p w14:paraId="5F350D59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114E0114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</w:t>
            </w:r>
          </w:p>
        </w:tc>
      </w:tr>
      <w:tr w:rsidR="00BA56C2" w14:paraId="37ACBE55" w14:textId="77777777" w:rsidTr="00DE3206">
        <w:tc>
          <w:tcPr>
            <w:tcW w:w="913" w:type="dxa"/>
          </w:tcPr>
          <w:p w14:paraId="2EB80F8B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3.3</w:t>
            </w:r>
          </w:p>
        </w:tc>
        <w:tc>
          <w:tcPr>
            <w:tcW w:w="8789" w:type="dxa"/>
            <w:gridSpan w:val="4"/>
          </w:tcPr>
          <w:p w14:paraId="66391A24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Экологические показатели транспортных средств, указанных в заявке на участие в открытом конкурсе:</w:t>
            </w:r>
          </w:p>
        </w:tc>
      </w:tr>
      <w:tr w:rsidR="00BA56C2" w14:paraId="44631AD1" w14:textId="77777777" w:rsidTr="00DE3206">
        <w:trPr>
          <w:trHeight w:val="1008"/>
        </w:trPr>
        <w:tc>
          <w:tcPr>
            <w:tcW w:w="913" w:type="dxa"/>
          </w:tcPr>
          <w:p w14:paraId="790E81E4" w14:textId="77777777" w:rsidR="00BA56C2" w:rsidRPr="001C3B1D" w:rsidRDefault="00BA56C2" w:rsidP="00274B6A">
            <w:pPr>
              <w:pStyle w:val="ConsPlusNormal"/>
              <w:ind w:left="-14"/>
              <w:contextualSpacing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3.3.1</w:t>
            </w:r>
          </w:p>
        </w:tc>
        <w:tc>
          <w:tcPr>
            <w:tcW w:w="5386" w:type="dxa"/>
          </w:tcPr>
          <w:p w14:paraId="3C99FED1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использование газомоторного топлива</w:t>
            </w:r>
          </w:p>
        </w:tc>
        <w:tc>
          <w:tcPr>
            <w:tcW w:w="2127" w:type="dxa"/>
            <w:gridSpan w:val="2"/>
          </w:tcPr>
          <w:p w14:paraId="7AD15C7B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4CD5E29A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56C2" w14:paraId="0FD62853" w14:textId="77777777" w:rsidTr="00DE3206">
        <w:trPr>
          <w:trHeight w:val="954"/>
        </w:trPr>
        <w:tc>
          <w:tcPr>
            <w:tcW w:w="913" w:type="dxa"/>
          </w:tcPr>
          <w:p w14:paraId="29089AD8" w14:textId="77777777" w:rsidR="00BA56C2" w:rsidRPr="001C3B1D" w:rsidRDefault="00BA56C2" w:rsidP="00274B6A">
            <w:pPr>
              <w:pStyle w:val="ConsPlusNormal"/>
              <w:ind w:left="-14"/>
              <w:contextualSpacing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3.3.2</w:t>
            </w:r>
          </w:p>
        </w:tc>
        <w:tc>
          <w:tcPr>
            <w:tcW w:w="5386" w:type="dxa"/>
          </w:tcPr>
          <w:p w14:paraId="4A291EEB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двигатель Евро-5 и выше</w:t>
            </w:r>
          </w:p>
        </w:tc>
        <w:tc>
          <w:tcPr>
            <w:tcW w:w="2127" w:type="dxa"/>
            <w:gridSpan w:val="2"/>
          </w:tcPr>
          <w:p w14:paraId="2693FE08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16853886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56C2" w14:paraId="1CEF96D7" w14:textId="77777777" w:rsidTr="00DE3206">
        <w:tc>
          <w:tcPr>
            <w:tcW w:w="913" w:type="dxa"/>
          </w:tcPr>
          <w:p w14:paraId="25D5C21C" w14:textId="77777777" w:rsidR="00BA56C2" w:rsidRPr="001C3B1D" w:rsidRDefault="00BA56C2" w:rsidP="00274B6A">
            <w:pPr>
              <w:pStyle w:val="ConsPlusNormal"/>
              <w:ind w:left="-14"/>
              <w:contextualSpacing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3.3.3</w:t>
            </w:r>
          </w:p>
        </w:tc>
        <w:tc>
          <w:tcPr>
            <w:tcW w:w="5386" w:type="dxa"/>
          </w:tcPr>
          <w:p w14:paraId="14846A5E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двигатель Евро-4</w:t>
            </w:r>
          </w:p>
        </w:tc>
        <w:tc>
          <w:tcPr>
            <w:tcW w:w="2127" w:type="dxa"/>
            <w:gridSpan w:val="2"/>
          </w:tcPr>
          <w:p w14:paraId="36F1427C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60905A93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56C2" w14:paraId="7C9958FC" w14:textId="77777777" w:rsidTr="00DE3206">
        <w:tc>
          <w:tcPr>
            <w:tcW w:w="913" w:type="dxa"/>
          </w:tcPr>
          <w:p w14:paraId="2E7A7CFD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3.3.4</w:t>
            </w:r>
          </w:p>
        </w:tc>
        <w:tc>
          <w:tcPr>
            <w:tcW w:w="5386" w:type="dxa"/>
          </w:tcPr>
          <w:p w14:paraId="2C19C94F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двигатель Евро-3</w:t>
            </w:r>
          </w:p>
        </w:tc>
        <w:tc>
          <w:tcPr>
            <w:tcW w:w="2127" w:type="dxa"/>
            <w:gridSpan w:val="2"/>
          </w:tcPr>
          <w:p w14:paraId="744C958A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 xml:space="preserve">за каждую </w:t>
            </w:r>
            <w:r w:rsidRPr="001C3B1D">
              <w:rPr>
                <w:sz w:val="28"/>
                <w:szCs w:val="28"/>
              </w:rPr>
              <w:lastRenderedPageBreak/>
              <w:t>транспортную единицу</w:t>
            </w:r>
          </w:p>
        </w:tc>
        <w:tc>
          <w:tcPr>
            <w:tcW w:w="1276" w:type="dxa"/>
          </w:tcPr>
          <w:p w14:paraId="3911D807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BA56C2" w14:paraId="04817C79" w14:textId="77777777" w:rsidTr="00DE3206">
        <w:trPr>
          <w:trHeight w:val="915"/>
        </w:trPr>
        <w:tc>
          <w:tcPr>
            <w:tcW w:w="913" w:type="dxa"/>
          </w:tcPr>
          <w:p w14:paraId="21F7B096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lastRenderedPageBreak/>
              <w:t>3.3.5</w:t>
            </w:r>
          </w:p>
        </w:tc>
        <w:tc>
          <w:tcPr>
            <w:tcW w:w="5386" w:type="dxa"/>
          </w:tcPr>
          <w:p w14:paraId="363E39B1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двигатель Евро-2 и ниже</w:t>
            </w:r>
          </w:p>
        </w:tc>
        <w:tc>
          <w:tcPr>
            <w:tcW w:w="2127" w:type="dxa"/>
            <w:gridSpan w:val="2"/>
          </w:tcPr>
          <w:p w14:paraId="0C3814EB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5E873823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0</w:t>
            </w:r>
          </w:p>
        </w:tc>
      </w:tr>
      <w:tr w:rsidR="00BA56C2" w14:paraId="28F0184D" w14:textId="77777777" w:rsidTr="00DE3206">
        <w:tc>
          <w:tcPr>
            <w:tcW w:w="913" w:type="dxa"/>
          </w:tcPr>
          <w:p w14:paraId="7690D4B1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</w:t>
            </w:r>
          </w:p>
        </w:tc>
        <w:tc>
          <w:tcPr>
            <w:tcW w:w="8789" w:type="dxa"/>
            <w:gridSpan w:val="4"/>
          </w:tcPr>
          <w:p w14:paraId="2D3C86FC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C3B1D">
              <w:rPr>
                <w:sz w:val="28"/>
                <w:szCs w:val="28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перевозок.</w:t>
            </w:r>
            <w:proofErr w:type="gramEnd"/>
          </w:p>
          <w:p w14:paraId="06132E9E" w14:textId="77777777" w:rsidR="00BA56C2" w:rsidRPr="001C3B1D" w:rsidRDefault="00BA56C2" w:rsidP="00274B6A">
            <w:pPr>
              <w:pStyle w:val="ConsPlusNormal"/>
              <w:ind w:left="221" w:right="80" w:firstLine="567"/>
              <w:contextualSpacing/>
              <w:jc w:val="both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Определяется в годах как разница между годом размещения извещения о проведении открытого конкурса и годом выпуска транспортного средства из расчета на каждую транспортную единицу</w:t>
            </w:r>
            <w:r>
              <w:rPr>
                <w:sz w:val="28"/>
                <w:szCs w:val="28"/>
              </w:rPr>
              <w:t>:</w:t>
            </w:r>
          </w:p>
        </w:tc>
      </w:tr>
      <w:tr w:rsidR="00BA56C2" w14:paraId="6044999A" w14:textId="77777777" w:rsidTr="00DE3206">
        <w:tc>
          <w:tcPr>
            <w:tcW w:w="913" w:type="dxa"/>
          </w:tcPr>
          <w:p w14:paraId="1DE0FE98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4.1</w:t>
            </w:r>
          </w:p>
        </w:tc>
        <w:tc>
          <w:tcPr>
            <w:tcW w:w="5528" w:type="dxa"/>
            <w:gridSpan w:val="2"/>
          </w:tcPr>
          <w:p w14:paraId="5B93BEAC" w14:textId="77777777" w:rsidR="00BA56C2" w:rsidRPr="001C3B1D" w:rsidRDefault="00BA56C2" w:rsidP="00274B6A">
            <w:pPr>
              <w:pStyle w:val="ConsPlusNormal"/>
              <w:ind w:left="22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10 лет (включительно) и более</w:t>
            </w:r>
          </w:p>
        </w:tc>
        <w:tc>
          <w:tcPr>
            <w:tcW w:w="1985" w:type="dxa"/>
          </w:tcPr>
          <w:p w14:paraId="4E06A1D4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6F7B1795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0</w:t>
            </w:r>
          </w:p>
        </w:tc>
      </w:tr>
      <w:tr w:rsidR="00BA56C2" w14:paraId="3143BF33" w14:textId="77777777" w:rsidTr="00DE3206">
        <w:tc>
          <w:tcPr>
            <w:tcW w:w="913" w:type="dxa"/>
          </w:tcPr>
          <w:p w14:paraId="42C58721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4.2</w:t>
            </w:r>
          </w:p>
        </w:tc>
        <w:tc>
          <w:tcPr>
            <w:tcW w:w="5528" w:type="dxa"/>
            <w:gridSpan w:val="2"/>
          </w:tcPr>
          <w:p w14:paraId="2EDDE331" w14:textId="77777777" w:rsidR="00BA56C2" w:rsidRPr="001C3B1D" w:rsidRDefault="00BA56C2" w:rsidP="00274B6A">
            <w:pPr>
              <w:pStyle w:val="ConsPlusNormal"/>
              <w:ind w:left="2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7 лет (включительно) до 10 лет</w:t>
            </w:r>
          </w:p>
        </w:tc>
        <w:tc>
          <w:tcPr>
            <w:tcW w:w="1985" w:type="dxa"/>
          </w:tcPr>
          <w:p w14:paraId="11619F5A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692AFD49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3</w:t>
            </w:r>
          </w:p>
        </w:tc>
      </w:tr>
      <w:tr w:rsidR="00BA56C2" w14:paraId="2465DC65" w14:textId="77777777" w:rsidTr="00DE3206">
        <w:tc>
          <w:tcPr>
            <w:tcW w:w="913" w:type="dxa"/>
          </w:tcPr>
          <w:p w14:paraId="0F0ACDAA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4.3</w:t>
            </w:r>
          </w:p>
        </w:tc>
        <w:tc>
          <w:tcPr>
            <w:tcW w:w="5528" w:type="dxa"/>
            <w:gridSpan w:val="2"/>
          </w:tcPr>
          <w:p w14:paraId="2C80A6D6" w14:textId="77777777" w:rsidR="00BA56C2" w:rsidRPr="001C3B1D" w:rsidRDefault="00BA56C2" w:rsidP="00274B6A">
            <w:pPr>
              <w:pStyle w:val="ConsPlusNormal"/>
              <w:ind w:left="2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5 лет (включительно) до 7 лет</w:t>
            </w:r>
          </w:p>
        </w:tc>
        <w:tc>
          <w:tcPr>
            <w:tcW w:w="1985" w:type="dxa"/>
          </w:tcPr>
          <w:p w14:paraId="5E8D1C6F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6688AD1B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5</w:t>
            </w:r>
          </w:p>
        </w:tc>
      </w:tr>
      <w:tr w:rsidR="00BA56C2" w14:paraId="48F91E8B" w14:textId="77777777" w:rsidTr="00DE3206">
        <w:trPr>
          <w:trHeight w:val="886"/>
        </w:trPr>
        <w:tc>
          <w:tcPr>
            <w:tcW w:w="913" w:type="dxa"/>
          </w:tcPr>
          <w:p w14:paraId="72C4E4A2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4.4</w:t>
            </w:r>
          </w:p>
        </w:tc>
        <w:tc>
          <w:tcPr>
            <w:tcW w:w="5528" w:type="dxa"/>
            <w:gridSpan w:val="2"/>
          </w:tcPr>
          <w:p w14:paraId="068401CF" w14:textId="77777777" w:rsidR="00BA56C2" w:rsidRPr="001C3B1D" w:rsidRDefault="00BA56C2" w:rsidP="00274B6A">
            <w:pPr>
              <w:pStyle w:val="ConsPlusNormal"/>
              <w:ind w:left="2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3 лет (включительно) до 5 лет</w:t>
            </w:r>
          </w:p>
        </w:tc>
        <w:tc>
          <w:tcPr>
            <w:tcW w:w="1985" w:type="dxa"/>
          </w:tcPr>
          <w:p w14:paraId="11460558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4647BBB6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10</w:t>
            </w:r>
          </w:p>
        </w:tc>
      </w:tr>
      <w:tr w:rsidR="00BA56C2" w14:paraId="0587165D" w14:textId="77777777" w:rsidTr="00DE3206">
        <w:tc>
          <w:tcPr>
            <w:tcW w:w="913" w:type="dxa"/>
          </w:tcPr>
          <w:p w14:paraId="181583C7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4.5</w:t>
            </w:r>
          </w:p>
        </w:tc>
        <w:tc>
          <w:tcPr>
            <w:tcW w:w="5528" w:type="dxa"/>
            <w:gridSpan w:val="2"/>
          </w:tcPr>
          <w:p w14:paraId="0C6D3580" w14:textId="77777777" w:rsidR="00BA56C2" w:rsidRPr="001C3B1D" w:rsidRDefault="00BA56C2" w:rsidP="00274B6A">
            <w:pPr>
              <w:pStyle w:val="ConsPlusNormal"/>
              <w:ind w:left="2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C3B1D">
              <w:rPr>
                <w:sz w:val="28"/>
                <w:szCs w:val="28"/>
              </w:rPr>
              <w:t>т 1 года (включительно) до 3 лет</w:t>
            </w:r>
          </w:p>
        </w:tc>
        <w:tc>
          <w:tcPr>
            <w:tcW w:w="1985" w:type="dxa"/>
          </w:tcPr>
          <w:p w14:paraId="54AA188F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1C7D1479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15</w:t>
            </w:r>
          </w:p>
        </w:tc>
      </w:tr>
      <w:tr w:rsidR="00BA56C2" w14:paraId="122D4D9B" w14:textId="77777777" w:rsidTr="00DE3206">
        <w:tc>
          <w:tcPr>
            <w:tcW w:w="913" w:type="dxa"/>
          </w:tcPr>
          <w:p w14:paraId="2A71AE4D" w14:textId="77777777" w:rsidR="00BA56C2" w:rsidRPr="001C3B1D" w:rsidRDefault="00BA56C2" w:rsidP="00274B6A">
            <w:pPr>
              <w:pStyle w:val="ConsPlusNormal"/>
              <w:ind w:left="-14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4.6</w:t>
            </w:r>
          </w:p>
        </w:tc>
        <w:tc>
          <w:tcPr>
            <w:tcW w:w="5528" w:type="dxa"/>
            <w:gridSpan w:val="2"/>
          </w:tcPr>
          <w:p w14:paraId="66388282" w14:textId="77777777" w:rsidR="00BA56C2" w:rsidRPr="001C3B1D" w:rsidRDefault="00BA56C2" w:rsidP="00274B6A">
            <w:pPr>
              <w:pStyle w:val="ConsPlusNormal"/>
              <w:ind w:left="2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C3B1D">
              <w:rPr>
                <w:sz w:val="28"/>
                <w:szCs w:val="28"/>
              </w:rPr>
              <w:t>енее 1 года</w:t>
            </w:r>
          </w:p>
        </w:tc>
        <w:tc>
          <w:tcPr>
            <w:tcW w:w="1985" w:type="dxa"/>
          </w:tcPr>
          <w:p w14:paraId="20F39A75" w14:textId="77777777" w:rsidR="00BA56C2" w:rsidRPr="001C3B1D" w:rsidRDefault="00BA56C2" w:rsidP="00274B6A">
            <w:pPr>
              <w:pStyle w:val="ConsPlusNormal"/>
              <w:contextualSpacing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за каждую транспортную единицу</w:t>
            </w:r>
          </w:p>
        </w:tc>
        <w:tc>
          <w:tcPr>
            <w:tcW w:w="1276" w:type="dxa"/>
          </w:tcPr>
          <w:p w14:paraId="3C793D31" w14:textId="77777777" w:rsidR="00BA56C2" w:rsidRPr="001C3B1D" w:rsidRDefault="00BA56C2" w:rsidP="00274B6A">
            <w:pPr>
              <w:pStyle w:val="ConsPlusNormal"/>
              <w:jc w:val="center"/>
              <w:rPr>
                <w:sz w:val="28"/>
                <w:szCs w:val="28"/>
              </w:rPr>
            </w:pPr>
            <w:r w:rsidRPr="001C3B1D">
              <w:rPr>
                <w:sz w:val="28"/>
                <w:szCs w:val="28"/>
              </w:rPr>
              <w:t>20</w:t>
            </w:r>
          </w:p>
        </w:tc>
      </w:tr>
    </w:tbl>
    <w:p w14:paraId="6F06EDC0" w14:textId="77777777" w:rsidR="00BA56C2" w:rsidRPr="001C3B1D" w:rsidRDefault="00BA56C2" w:rsidP="00BA56C2">
      <w:pPr>
        <w:pStyle w:val="ConsPlusNormal"/>
        <w:jc w:val="both"/>
        <w:rPr>
          <w:sz w:val="28"/>
          <w:szCs w:val="28"/>
        </w:rPr>
      </w:pPr>
    </w:p>
    <w:p w14:paraId="77DBD2A9" w14:textId="77777777" w:rsidR="00BA56C2" w:rsidRPr="001C3B1D" w:rsidRDefault="00BA56C2" w:rsidP="00BA56C2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3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72D9D99" w14:textId="77777777" w:rsidR="00BA56C2" w:rsidRPr="001C3B1D" w:rsidRDefault="00BA56C2" w:rsidP="00BA56C2">
      <w:pPr>
        <w:pStyle w:val="ConsPlusNormal"/>
        <w:jc w:val="both"/>
        <w:rPr>
          <w:sz w:val="28"/>
          <w:szCs w:val="28"/>
        </w:rPr>
      </w:pPr>
    </w:p>
    <w:p w14:paraId="3C03C854" w14:textId="77777777" w:rsidR="00BA56C2" w:rsidRPr="001C3B1D" w:rsidRDefault="00BA56C2" w:rsidP="00BA56C2">
      <w:pPr>
        <w:pStyle w:val="ConsPlusNormal"/>
        <w:jc w:val="both"/>
        <w:rPr>
          <w:sz w:val="28"/>
          <w:szCs w:val="28"/>
        </w:rPr>
      </w:pPr>
    </w:p>
    <w:p w14:paraId="78291EDF" w14:textId="77777777" w:rsidR="00BA56C2" w:rsidRPr="001C3B1D" w:rsidRDefault="00BA56C2" w:rsidP="00BA56C2">
      <w:pPr>
        <w:pStyle w:val="ConsPlusNormal"/>
        <w:jc w:val="both"/>
        <w:rPr>
          <w:sz w:val="28"/>
          <w:szCs w:val="28"/>
        </w:rPr>
      </w:pPr>
    </w:p>
    <w:p w14:paraId="3FF4EEE4" w14:textId="32CF00DF" w:rsidR="00BA56C2" w:rsidRPr="001C3B1D" w:rsidRDefault="008E5595" w:rsidP="008E5595">
      <w:pPr>
        <w:pStyle w:val="ConsPlusNormal"/>
        <w:spacing w:line="240" w:lineRule="exact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10316251" w14:textId="189E59E1" w:rsidR="00BA56C2" w:rsidRDefault="008E5595" w:rsidP="008E5595">
      <w:pPr>
        <w:pStyle w:val="ConsPlusNormal"/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56C2">
        <w:rPr>
          <w:sz w:val="28"/>
          <w:szCs w:val="28"/>
        </w:rPr>
        <w:t>п</w:t>
      </w:r>
      <w:r w:rsidR="00BA56C2" w:rsidRPr="001C3B1D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BA56C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BA56C2" w:rsidRPr="001C3B1D">
        <w:rPr>
          <w:sz w:val="28"/>
          <w:szCs w:val="28"/>
        </w:rPr>
        <w:t>Пермского</w:t>
      </w:r>
      <w:r w:rsidR="00BA56C2">
        <w:rPr>
          <w:sz w:val="28"/>
          <w:szCs w:val="28"/>
        </w:rPr>
        <w:t xml:space="preserve"> муниципального о</w:t>
      </w:r>
      <w:r w:rsidR="005B7819">
        <w:rPr>
          <w:sz w:val="28"/>
          <w:szCs w:val="28"/>
        </w:rPr>
        <w:t>круг</w:t>
      </w:r>
      <w:r w:rsidR="00BA56C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3883983E" w14:textId="28A0DDA0" w:rsidR="005B7819" w:rsidRPr="001C3B1D" w:rsidRDefault="005B7819" w:rsidP="008E5595">
      <w:pPr>
        <w:pStyle w:val="ConsPlusNormal"/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14:paraId="51957DF0" w14:textId="3ABC9307" w:rsidR="00BA56C2" w:rsidRPr="00482A25" w:rsidRDefault="00BA56C2" w:rsidP="008E5595">
      <w:pPr>
        <w:pStyle w:val="ae"/>
        <w:ind w:left="5670"/>
        <w:jc w:val="left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о</w:t>
      </w:r>
      <w:r w:rsidRPr="00EF686B">
        <w:rPr>
          <w:szCs w:val="28"/>
          <w:lang w:val="ru-RU"/>
        </w:rPr>
        <w:t>т</w:t>
      </w:r>
      <w:r w:rsidR="00C94851">
        <w:rPr>
          <w:szCs w:val="28"/>
          <w:lang w:val="ru-RU"/>
        </w:rPr>
        <w:t xml:space="preserve">                     </w:t>
      </w:r>
      <w:r>
        <w:rPr>
          <w:szCs w:val="28"/>
          <w:lang w:val="ru-RU"/>
        </w:rPr>
        <w:t xml:space="preserve">  </w:t>
      </w:r>
      <w:r w:rsidRPr="00EF686B">
        <w:rPr>
          <w:szCs w:val="28"/>
          <w:lang w:val="ru-RU"/>
        </w:rPr>
        <w:t xml:space="preserve">№ </w:t>
      </w:r>
      <w:proofErr w:type="gramEnd"/>
    </w:p>
    <w:p w14:paraId="6F0D4916" w14:textId="77777777" w:rsidR="00BA56C2" w:rsidRPr="001C3B1D" w:rsidRDefault="00BA56C2" w:rsidP="00BA56C2">
      <w:pPr>
        <w:pStyle w:val="ConsPlusNormal"/>
        <w:jc w:val="right"/>
        <w:rPr>
          <w:sz w:val="28"/>
          <w:szCs w:val="28"/>
        </w:rPr>
      </w:pPr>
    </w:p>
    <w:p w14:paraId="019D4E47" w14:textId="77777777" w:rsidR="00A20295" w:rsidRDefault="00A20295" w:rsidP="00BA5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1"/>
      <w:bookmarkEnd w:id="1"/>
    </w:p>
    <w:p w14:paraId="1577AE71" w14:textId="77777777" w:rsidR="00BA56C2" w:rsidRDefault="00BA56C2" w:rsidP="00BA56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B1D">
        <w:rPr>
          <w:rFonts w:ascii="Times New Roman" w:hAnsi="Times New Roman" w:cs="Times New Roman"/>
          <w:sz w:val="28"/>
          <w:szCs w:val="28"/>
        </w:rPr>
        <w:t>ТРЕБОВАНИЯ</w:t>
      </w:r>
    </w:p>
    <w:p w14:paraId="1528680B" w14:textId="331C27A3" w:rsidR="005B7819" w:rsidRPr="001C3B1D" w:rsidRDefault="00DE3206" w:rsidP="00DE3206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B7819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B7819">
        <w:rPr>
          <w:rFonts w:ascii="Times New Roman" w:hAnsi="Times New Roman" w:cs="Times New Roman"/>
          <w:sz w:val="28"/>
          <w:szCs w:val="28"/>
        </w:rPr>
        <w:t>ам договора простого товарищества, осущ</w:t>
      </w:r>
      <w:r w:rsidR="00A20295">
        <w:rPr>
          <w:rFonts w:ascii="Times New Roman" w:hAnsi="Times New Roman" w:cs="Times New Roman"/>
          <w:sz w:val="28"/>
          <w:szCs w:val="28"/>
        </w:rPr>
        <w:t xml:space="preserve">ествляющим регулярные перевозки по </w:t>
      </w:r>
      <w:r>
        <w:rPr>
          <w:rFonts w:ascii="Times New Roman" w:hAnsi="Times New Roman" w:cs="Times New Roman"/>
          <w:sz w:val="28"/>
          <w:szCs w:val="28"/>
        </w:rPr>
        <w:t>нерегулируемым тарифам</w:t>
      </w:r>
    </w:p>
    <w:p w14:paraId="10334575" w14:textId="19FC5D8B" w:rsidR="00A20295" w:rsidRDefault="00DE3206" w:rsidP="00A20295">
      <w:pPr>
        <w:spacing w:after="1"/>
        <w:rPr>
          <w:sz w:val="28"/>
          <w:szCs w:val="28"/>
        </w:rPr>
      </w:pPr>
      <w:r>
        <w:rPr>
          <w:szCs w:val="28"/>
        </w:rPr>
        <w:t xml:space="preserve"> </w:t>
      </w:r>
    </w:p>
    <w:p w14:paraId="2A1E698C" w14:textId="3432E48A" w:rsidR="00BA56C2" w:rsidRPr="00DE3206" w:rsidRDefault="00BA56C2" w:rsidP="00C94851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E3206">
        <w:rPr>
          <w:sz w:val="28"/>
          <w:szCs w:val="28"/>
        </w:rPr>
        <w:t xml:space="preserve">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(далее </w:t>
      </w:r>
      <w:r w:rsidR="00DE3206" w:rsidRPr="00DE3206">
        <w:rPr>
          <w:sz w:val="28"/>
          <w:szCs w:val="28"/>
        </w:rPr>
        <w:t>–</w:t>
      </w:r>
      <w:r w:rsidRPr="00DE3206">
        <w:rPr>
          <w:sz w:val="28"/>
          <w:szCs w:val="28"/>
        </w:rPr>
        <w:t xml:space="preserve"> перевозчики), обязаны соблюдать следующие требования</w:t>
      </w:r>
      <w:r w:rsidR="00A20295">
        <w:rPr>
          <w:sz w:val="28"/>
          <w:szCs w:val="28"/>
        </w:rPr>
        <w:t>:</w:t>
      </w:r>
    </w:p>
    <w:p w14:paraId="6BC3F8CC" w14:textId="295BA819" w:rsidR="00BA56C2" w:rsidRPr="00DE3206" w:rsidRDefault="00BA56C2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 w:rsidRPr="00DE3206">
        <w:rPr>
          <w:sz w:val="28"/>
          <w:szCs w:val="28"/>
        </w:rPr>
        <w:t xml:space="preserve">1. </w:t>
      </w:r>
      <w:r w:rsidR="00511B98">
        <w:rPr>
          <w:sz w:val="28"/>
          <w:szCs w:val="28"/>
        </w:rPr>
        <w:t>н</w:t>
      </w:r>
      <w:r w:rsidRPr="00DE3206">
        <w:rPr>
          <w:sz w:val="28"/>
          <w:szCs w:val="28"/>
        </w:rPr>
        <w:t>е превышать максимальное количество транспортных средств различных классов, которые разрешается одновременно использовать для перевозок по маршруту регулярных перевозок в соответст</w:t>
      </w:r>
      <w:r w:rsidR="00A20295">
        <w:rPr>
          <w:sz w:val="28"/>
          <w:szCs w:val="28"/>
        </w:rPr>
        <w:t>вии с установленным расписанием:</w:t>
      </w:r>
    </w:p>
    <w:p w14:paraId="582C9B40" w14:textId="6302ACB0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56C2" w:rsidRPr="00DE3206">
        <w:rPr>
          <w:sz w:val="28"/>
          <w:szCs w:val="28"/>
        </w:rPr>
        <w:t xml:space="preserve">. </w:t>
      </w:r>
      <w:r w:rsidR="00511B98">
        <w:rPr>
          <w:sz w:val="28"/>
          <w:szCs w:val="28"/>
        </w:rPr>
        <w:t>т</w:t>
      </w:r>
      <w:r w:rsidR="00BA56C2" w:rsidRPr="00DE3206">
        <w:rPr>
          <w:sz w:val="28"/>
          <w:szCs w:val="28"/>
        </w:rPr>
        <w:t xml:space="preserve">ранспортные средства, используемые для перевозок по муниципальному маршруту, должны находиться на праве собственности или ином законном основании у перевозчика, сведения о котором в отношении данного маршрута включены в реестр маршрутов регулярных перевозок автомобильным транспортом Пермского муниципального </w:t>
      </w:r>
      <w:r w:rsidR="00A20295">
        <w:rPr>
          <w:sz w:val="28"/>
          <w:szCs w:val="28"/>
        </w:rPr>
        <w:t>округ</w:t>
      </w:r>
      <w:r w:rsidR="00D756AD">
        <w:rPr>
          <w:sz w:val="28"/>
          <w:szCs w:val="28"/>
        </w:rPr>
        <w:t>а</w:t>
      </w:r>
      <w:r w:rsidR="00BA56C2" w:rsidRPr="00DE3206">
        <w:rPr>
          <w:sz w:val="28"/>
          <w:szCs w:val="28"/>
        </w:rPr>
        <w:t>.</w:t>
      </w:r>
    </w:p>
    <w:p w14:paraId="424CCABB" w14:textId="592B5477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6C2" w:rsidRPr="00DE3206">
        <w:rPr>
          <w:sz w:val="28"/>
          <w:szCs w:val="28"/>
        </w:rPr>
        <w:t xml:space="preserve">. </w:t>
      </w:r>
      <w:r w:rsidR="00511B98">
        <w:rPr>
          <w:sz w:val="28"/>
          <w:szCs w:val="28"/>
        </w:rPr>
        <w:t>к</w:t>
      </w:r>
      <w:r w:rsidR="00BA56C2" w:rsidRPr="00DE3206">
        <w:rPr>
          <w:sz w:val="28"/>
          <w:szCs w:val="28"/>
        </w:rPr>
        <w:t xml:space="preserve"> управлению транспортными средствами, используемыми для перевозок по муниципальному маршруту</w:t>
      </w:r>
      <w:r w:rsidR="00A20295">
        <w:rPr>
          <w:sz w:val="28"/>
          <w:szCs w:val="28"/>
        </w:rPr>
        <w:t xml:space="preserve"> регулярных перевозок</w:t>
      </w:r>
      <w:r w:rsidR="00BA56C2" w:rsidRPr="00DE3206">
        <w:rPr>
          <w:sz w:val="28"/>
          <w:szCs w:val="28"/>
        </w:rPr>
        <w:t>, допускаются водители, заключившие трудовой договор с перевозчиком, индивидуальны</w:t>
      </w:r>
      <w:r w:rsidR="00DE3206" w:rsidRPr="00DE3206">
        <w:rPr>
          <w:sz w:val="28"/>
          <w:szCs w:val="28"/>
        </w:rPr>
        <w:t>м</w:t>
      </w:r>
      <w:r w:rsidR="00BA56C2" w:rsidRPr="00DE3206">
        <w:rPr>
          <w:sz w:val="28"/>
          <w:szCs w:val="28"/>
        </w:rPr>
        <w:t xml:space="preserve"> предпринимател</w:t>
      </w:r>
      <w:r w:rsidR="00DE3206" w:rsidRPr="00DE3206">
        <w:rPr>
          <w:sz w:val="28"/>
          <w:szCs w:val="28"/>
        </w:rPr>
        <w:t>ем</w:t>
      </w:r>
      <w:r w:rsidR="00BA56C2" w:rsidRPr="00DE3206">
        <w:rPr>
          <w:sz w:val="28"/>
          <w:szCs w:val="28"/>
        </w:rPr>
        <w:t>, участник</w:t>
      </w:r>
      <w:r w:rsidR="00DE3206" w:rsidRPr="00DE3206">
        <w:rPr>
          <w:sz w:val="28"/>
          <w:szCs w:val="28"/>
        </w:rPr>
        <w:t>ом</w:t>
      </w:r>
      <w:r w:rsidR="00BA56C2" w:rsidRPr="00DE3206">
        <w:rPr>
          <w:sz w:val="28"/>
          <w:szCs w:val="28"/>
        </w:rPr>
        <w:t xml:space="preserve"> договора простого товарищества, сведения о которых в отношении данного маршрута включены в реестр маршрутов.</w:t>
      </w:r>
    </w:p>
    <w:p w14:paraId="3AB1739B" w14:textId="77777777" w:rsidR="008E5595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1B98">
        <w:rPr>
          <w:sz w:val="28"/>
          <w:szCs w:val="28"/>
        </w:rPr>
        <w:t>. н</w:t>
      </w:r>
      <w:r w:rsidR="00BA56C2" w:rsidRPr="00DE3206">
        <w:rPr>
          <w:sz w:val="28"/>
          <w:szCs w:val="28"/>
        </w:rPr>
        <w:t>е превышать максимально допустимое соотношение между количеством рейсов, невыполненных в течение одного квартала, и количеством рейсов, предусмотренных для выполнения в течение данного ква</w:t>
      </w:r>
      <w:r w:rsidR="00A20295">
        <w:rPr>
          <w:sz w:val="28"/>
          <w:szCs w:val="28"/>
        </w:rPr>
        <w:t>ртала установленным расписанием:</w:t>
      </w:r>
      <w:r w:rsidR="008E5595">
        <w:rPr>
          <w:sz w:val="28"/>
          <w:szCs w:val="28"/>
        </w:rPr>
        <w:t xml:space="preserve"> </w:t>
      </w:r>
    </w:p>
    <w:p w14:paraId="7D201667" w14:textId="51F99177" w:rsidR="00BA56C2" w:rsidRPr="00DE3206" w:rsidRDefault="008E5595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A56C2" w:rsidRPr="00DE3206">
        <w:rPr>
          <w:sz w:val="28"/>
          <w:szCs w:val="28"/>
        </w:rPr>
        <w:t xml:space="preserve">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и установленным расписанием, составляет 5 %.  </w:t>
      </w:r>
    </w:p>
    <w:p w14:paraId="530870D7" w14:textId="7FA710CC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295">
        <w:rPr>
          <w:sz w:val="28"/>
          <w:szCs w:val="28"/>
        </w:rPr>
        <w:t>.</w:t>
      </w:r>
      <w:r w:rsidR="00511B98">
        <w:rPr>
          <w:sz w:val="28"/>
          <w:szCs w:val="28"/>
        </w:rPr>
        <w:t xml:space="preserve"> р</w:t>
      </w:r>
      <w:r w:rsidR="00BA56C2" w:rsidRPr="00DE3206">
        <w:rPr>
          <w:sz w:val="28"/>
          <w:szCs w:val="28"/>
        </w:rPr>
        <w:t>ейс считается выполненным с нарушением утвержденного расписания при опоздании более чем на 10 минут.</w:t>
      </w:r>
    </w:p>
    <w:p w14:paraId="05DDD8E0" w14:textId="71C5721E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11B98">
        <w:rPr>
          <w:sz w:val="28"/>
          <w:szCs w:val="28"/>
        </w:rPr>
        <w:t>р</w:t>
      </w:r>
      <w:r w:rsidR="00BA56C2" w:rsidRPr="00DE3206">
        <w:rPr>
          <w:sz w:val="28"/>
          <w:szCs w:val="28"/>
        </w:rPr>
        <w:t>ейс считается невыполненным:</w:t>
      </w:r>
    </w:p>
    <w:p w14:paraId="2AD5CB04" w14:textId="03D2E14B" w:rsidR="00BA56C2" w:rsidRPr="00DE3206" w:rsidRDefault="00025550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A56C2" w:rsidRPr="00DE3206">
        <w:rPr>
          <w:sz w:val="28"/>
          <w:szCs w:val="28"/>
        </w:rPr>
        <w:t xml:space="preserve">     при опоздании транспортного средства более чем на 30 минут;</w:t>
      </w:r>
    </w:p>
    <w:p w14:paraId="66DA106C" w14:textId="159037C8" w:rsidR="00BA56C2" w:rsidRPr="00DE3206" w:rsidRDefault="00025550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BA56C2" w:rsidRPr="00DE3206">
        <w:rPr>
          <w:sz w:val="28"/>
          <w:szCs w:val="28"/>
        </w:rPr>
        <w:t xml:space="preserve"> при отправлении транспортного средства раньше времени, утвержденного расписанием;</w:t>
      </w:r>
    </w:p>
    <w:p w14:paraId="56B4F35F" w14:textId="61B8A1BA" w:rsidR="00BA56C2" w:rsidRPr="00DE3206" w:rsidRDefault="00025550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BA56C2" w:rsidRPr="00DE3206">
        <w:rPr>
          <w:sz w:val="28"/>
          <w:szCs w:val="28"/>
        </w:rPr>
        <w:t xml:space="preserve">  при отклонении транспортного средства от схемы маршрута на расстояние более 100 метров.</w:t>
      </w:r>
    </w:p>
    <w:p w14:paraId="76E9722E" w14:textId="2C3E7FA6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11B98">
        <w:rPr>
          <w:sz w:val="28"/>
          <w:szCs w:val="28"/>
        </w:rPr>
        <w:t>. р</w:t>
      </w:r>
      <w:r w:rsidR="00BA56C2" w:rsidRPr="00DE3206">
        <w:rPr>
          <w:sz w:val="28"/>
          <w:szCs w:val="28"/>
        </w:rPr>
        <w:t>егулярные перевозки осуществляются в соответствии со схемой муниципального маршрута и расписанием движения транспортных средств по данному маршруту.</w:t>
      </w:r>
    </w:p>
    <w:p w14:paraId="74CE3369" w14:textId="2AE70BA9" w:rsidR="00BA56C2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511B98">
        <w:rPr>
          <w:sz w:val="28"/>
          <w:szCs w:val="28"/>
        </w:rPr>
        <w:t>. к</w:t>
      </w:r>
      <w:r w:rsidR="00BA56C2" w:rsidRPr="00DE3206">
        <w:rPr>
          <w:sz w:val="28"/>
          <w:szCs w:val="28"/>
        </w:rPr>
        <w:t xml:space="preserve">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чрезвычайных обстоятельств.</w:t>
      </w:r>
      <w:proofErr w:type="gramEnd"/>
    </w:p>
    <w:p w14:paraId="25974825" w14:textId="18F5394F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BA56C2" w:rsidRPr="00DE3206">
        <w:rPr>
          <w:sz w:val="28"/>
          <w:szCs w:val="28"/>
        </w:rPr>
        <w:t xml:space="preserve">. </w:t>
      </w:r>
      <w:r w:rsidR="00511B98">
        <w:rPr>
          <w:sz w:val="28"/>
          <w:szCs w:val="28"/>
        </w:rPr>
        <w:t>в</w:t>
      </w:r>
      <w:r w:rsidR="00DE3206" w:rsidRPr="00DE3206">
        <w:rPr>
          <w:sz w:val="28"/>
          <w:szCs w:val="28"/>
        </w:rPr>
        <w:t xml:space="preserve"> установленном порядке о</w:t>
      </w:r>
      <w:r w:rsidR="00BA56C2" w:rsidRPr="00DE3206">
        <w:rPr>
          <w:sz w:val="28"/>
          <w:szCs w:val="28"/>
        </w:rPr>
        <w:t>беспечить передачу информации о месте нахождения транспортных средств, используемых для осуществления регулярных перевозок, в региональную информационную систему навигации на базе Единого центра управления комплексом пассажирских перевозок на муниципальных маршрутах регулярных перевозок.</w:t>
      </w:r>
      <w:proofErr w:type="gramEnd"/>
    </w:p>
    <w:p w14:paraId="37B776CE" w14:textId="44E152F2" w:rsidR="00BA56C2" w:rsidRPr="00DE3206" w:rsidRDefault="00C94851" w:rsidP="00C94851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BA56C2" w:rsidRPr="00DE3206">
        <w:rPr>
          <w:sz w:val="28"/>
          <w:szCs w:val="28"/>
        </w:rPr>
        <w:t xml:space="preserve">. </w:t>
      </w:r>
      <w:r w:rsidR="00511B98">
        <w:rPr>
          <w:sz w:val="28"/>
          <w:szCs w:val="28"/>
        </w:rPr>
        <w:t>о</w:t>
      </w:r>
      <w:r w:rsidR="00BA56C2" w:rsidRPr="00DE3206">
        <w:rPr>
          <w:sz w:val="28"/>
          <w:szCs w:val="28"/>
        </w:rPr>
        <w:t>беспечить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автономного речевого информатора, оборудования для безналичной оплаты проезда, а также иного оборудования, если данные характеристики транспортных средств указаны в реестре маршрутов.</w:t>
      </w:r>
      <w:proofErr w:type="gramEnd"/>
    </w:p>
    <w:p w14:paraId="14557BA1" w14:textId="0DC7A0F3" w:rsidR="00BA56C2" w:rsidRPr="00DE3206" w:rsidRDefault="00C94851" w:rsidP="00511B98">
      <w:pPr>
        <w:pStyle w:val="ConsPlusNormal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11B98">
        <w:rPr>
          <w:sz w:val="28"/>
          <w:szCs w:val="28"/>
        </w:rPr>
        <w:t>. и</w:t>
      </w:r>
      <w:r w:rsidR="00BA56C2" w:rsidRPr="00DE3206">
        <w:rPr>
          <w:sz w:val="28"/>
          <w:szCs w:val="28"/>
        </w:rPr>
        <w:t xml:space="preserve">нформировать об изменении тарифов на муниципальных маршрутах регулярных перевозок в письменной форме </w:t>
      </w:r>
      <w:r w:rsidR="00511B98">
        <w:rPr>
          <w:sz w:val="28"/>
          <w:szCs w:val="28"/>
        </w:rPr>
        <w:t>муниципальное казенное учреждение</w:t>
      </w:r>
      <w:r w:rsidR="00DE3206" w:rsidRPr="00DE3206">
        <w:rPr>
          <w:sz w:val="28"/>
          <w:szCs w:val="28"/>
        </w:rPr>
        <w:t xml:space="preserve"> </w:t>
      </w:r>
      <w:r w:rsidR="00511B98">
        <w:rPr>
          <w:sz w:val="28"/>
          <w:szCs w:val="28"/>
        </w:rPr>
        <w:t>«</w:t>
      </w:r>
      <w:r w:rsidR="00DE3206" w:rsidRPr="00DE3206">
        <w:rPr>
          <w:sz w:val="28"/>
          <w:szCs w:val="28"/>
        </w:rPr>
        <w:t>Управление благоустройства</w:t>
      </w:r>
      <w:r w:rsidR="00BA56C2" w:rsidRPr="00DE3206">
        <w:rPr>
          <w:sz w:val="28"/>
          <w:szCs w:val="28"/>
        </w:rPr>
        <w:t xml:space="preserve"> Пермского муниципального о</w:t>
      </w:r>
      <w:r w:rsidR="00DE3206" w:rsidRPr="00DE3206">
        <w:rPr>
          <w:sz w:val="28"/>
          <w:szCs w:val="28"/>
        </w:rPr>
        <w:t>круг</w:t>
      </w:r>
      <w:r w:rsidR="00BA56C2" w:rsidRPr="00DE3206">
        <w:rPr>
          <w:sz w:val="28"/>
          <w:szCs w:val="28"/>
        </w:rPr>
        <w:t xml:space="preserve">а </w:t>
      </w:r>
      <w:r w:rsidR="00511B98">
        <w:rPr>
          <w:sz w:val="28"/>
          <w:szCs w:val="28"/>
        </w:rPr>
        <w:t xml:space="preserve">Пермского рая» </w:t>
      </w:r>
      <w:r w:rsidR="00BA56C2" w:rsidRPr="00DE3206">
        <w:rPr>
          <w:sz w:val="28"/>
          <w:szCs w:val="28"/>
        </w:rPr>
        <w:t xml:space="preserve">и владельцев объектов транспортной инфраструктуры, а также посредством размещения соответствующей информации в начальном и конечном остановочных пунктах, в салонах транспортных средств не </w:t>
      </w:r>
      <w:proofErr w:type="gramStart"/>
      <w:r w:rsidR="00BA56C2" w:rsidRPr="00DE3206">
        <w:rPr>
          <w:sz w:val="28"/>
          <w:szCs w:val="28"/>
        </w:rPr>
        <w:t>позднее</w:t>
      </w:r>
      <w:proofErr w:type="gramEnd"/>
      <w:r w:rsidR="00BA56C2" w:rsidRPr="00DE3206">
        <w:rPr>
          <w:sz w:val="28"/>
          <w:szCs w:val="28"/>
        </w:rPr>
        <w:t xml:space="preserve"> чем за </w:t>
      </w:r>
      <w:r w:rsidR="00DE3206" w:rsidRPr="00DE3206">
        <w:rPr>
          <w:sz w:val="28"/>
          <w:szCs w:val="28"/>
        </w:rPr>
        <w:t>10</w:t>
      </w:r>
      <w:r w:rsidR="00BA56C2" w:rsidRPr="00DE3206">
        <w:rPr>
          <w:sz w:val="28"/>
          <w:szCs w:val="28"/>
        </w:rPr>
        <w:t xml:space="preserve"> календарных дней до дня начала осуществления регулярных перевозок с применением измененных тарифов.</w:t>
      </w:r>
    </w:p>
    <w:p w14:paraId="4BAA4FE7" w14:textId="5FC81D7E" w:rsidR="00CA1CFD" w:rsidRPr="00E55547" w:rsidRDefault="00CA1CFD" w:rsidP="00C94851">
      <w:pPr>
        <w:ind w:firstLine="709"/>
        <w:jc w:val="center"/>
      </w:pPr>
    </w:p>
    <w:sectPr w:rsidR="00CA1CFD" w:rsidRPr="00E55547" w:rsidSect="008E5595">
      <w:headerReference w:type="even" r:id="rId12"/>
      <w:headerReference w:type="default" r:id="rId13"/>
      <w:footerReference w:type="default" r:id="rId14"/>
      <w:pgSz w:w="11906" w:h="16838"/>
      <w:pgMar w:top="1134" w:right="709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8798" w14:textId="77777777" w:rsidR="00CB701A" w:rsidRDefault="00CB701A">
      <w:r>
        <w:separator/>
      </w:r>
    </w:p>
  </w:endnote>
  <w:endnote w:type="continuationSeparator" w:id="0">
    <w:p w14:paraId="45445C62" w14:textId="77777777" w:rsidR="00CB701A" w:rsidRDefault="00CB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447F4" w14:textId="77777777" w:rsidR="00CB701A" w:rsidRDefault="00CB701A">
      <w:r>
        <w:separator/>
      </w:r>
    </w:p>
  </w:footnote>
  <w:footnote w:type="continuationSeparator" w:id="0">
    <w:p w14:paraId="60DA930E" w14:textId="77777777" w:rsidR="00CB701A" w:rsidRDefault="00CB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46EAD686" w14:textId="77777777" w:rsidR="00EF73B9" w:rsidRDefault="00EF73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0294">
      <w:rPr>
        <w:rStyle w:val="ac"/>
        <w:noProof/>
      </w:rPr>
      <w:t>1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  <w:p w14:paraId="45E6EB87" w14:textId="77777777" w:rsidR="00EF73B9" w:rsidRDefault="00EF73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5550"/>
    <w:rsid w:val="000534D3"/>
    <w:rsid w:val="00065FBF"/>
    <w:rsid w:val="00077167"/>
    <w:rsid w:val="00077FD7"/>
    <w:rsid w:val="000817ED"/>
    <w:rsid w:val="000C4CD5"/>
    <w:rsid w:val="000C6479"/>
    <w:rsid w:val="000E66BC"/>
    <w:rsid w:val="000F0D2F"/>
    <w:rsid w:val="000F1E6E"/>
    <w:rsid w:val="000F4254"/>
    <w:rsid w:val="0012186D"/>
    <w:rsid w:val="00150A4E"/>
    <w:rsid w:val="001A30EF"/>
    <w:rsid w:val="001C754F"/>
    <w:rsid w:val="001D02CD"/>
    <w:rsid w:val="001E268C"/>
    <w:rsid w:val="00203BDC"/>
    <w:rsid w:val="00211745"/>
    <w:rsid w:val="0022560C"/>
    <w:rsid w:val="00227344"/>
    <w:rsid w:val="002304D3"/>
    <w:rsid w:val="002330C4"/>
    <w:rsid w:val="0023603B"/>
    <w:rsid w:val="00240DFD"/>
    <w:rsid w:val="00242B04"/>
    <w:rsid w:val="0024511B"/>
    <w:rsid w:val="0026551D"/>
    <w:rsid w:val="002C2B78"/>
    <w:rsid w:val="003045B0"/>
    <w:rsid w:val="00306735"/>
    <w:rsid w:val="003739D7"/>
    <w:rsid w:val="00393A4B"/>
    <w:rsid w:val="003D3D80"/>
    <w:rsid w:val="00414494"/>
    <w:rsid w:val="0041511B"/>
    <w:rsid w:val="0042345A"/>
    <w:rsid w:val="004448AC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1B98"/>
    <w:rsid w:val="0051502C"/>
    <w:rsid w:val="00542E50"/>
    <w:rsid w:val="00571308"/>
    <w:rsid w:val="00572091"/>
    <w:rsid w:val="00576A32"/>
    <w:rsid w:val="00577234"/>
    <w:rsid w:val="005B7819"/>
    <w:rsid w:val="005B7C2C"/>
    <w:rsid w:val="005C38F6"/>
    <w:rsid w:val="006155F3"/>
    <w:rsid w:val="00621C65"/>
    <w:rsid w:val="006312AA"/>
    <w:rsid w:val="00632693"/>
    <w:rsid w:val="00637B08"/>
    <w:rsid w:val="00662DD7"/>
    <w:rsid w:val="00667A75"/>
    <w:rsid w:val="006C5CBE"/>
    <w:rsid w:val="006C6E1D"/>
    <w:rsid w:val="006D5417"/>
    <w:rsid w:val="006F2225"/>
    <w:rsid w:val="006F6C51"/>
    <w:rsid w:val="006F7533"/>
    <w:rsid w:val="007168FE"/>
    <w:rsid w:val="00724F66"/>
    <w:rsid w:val="0074730E"/>
    <w:rsid w:val="00760DA8"/>
    <w:rsid w:val="007A0294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E5595"/>
    <w:rsid w:val="008F0D52"/>
    <w:rsid w:val="00900A1B"/>
    <w:rsid w:val="0092233D"/>
    <w:rsid w:val="00974C42"/>
    <w:rsid w:val="009B151F"/>
    <w:rsid w:val="009B5F4B"/>
    <w:rsid w:val="009D04CB"/>
    <w:rsid w:val="009E0131"/>
    <w:rsid w:val="009E5B5A"/>
    <w:rsid w:val="00A060D7"/>
    <w:rsid w:val="00A20295"/>
    <w:rsid w:val="00A24E2A"/>
    <w:rsid w:val="00A30B1A"/>
    <w:rsid w:val="00A33108"/>
    <w:rsid w:val="00A96183"/>
    <w:rsid w:val="00A96745"/>
    <w:rsid w:val="00AA6EF9"/>
    <w:rsid w:val="00AD79F6"/>
    <w:rsid w:val="00AE14A7"/>
    <w:rsid w:val="00B07667"/>
    <w:rsid w:val="00B277E1"/>
    <w:rsid w:val="00B34B77"/>
    <w:rsid w:val="00B647BA"/>
    <w:rsid w:val="00B9221A"/>
    <w:rsid w:val="00B931FE"/>
    <w:rsid w:val="00BA56C2"/>
    <w:rsid w:val="00BB6EA3"/>
    <w:rsid w:val="00BC0A61"/>
    <w:rsid w:val="00BC7DBA"/>
    <w:rsid w:val="00BD627B"/>
    <w:rsid w:val="00BF4376"/>
    <w:rsid w:val="00BF6DAF"/>
    <w:rsid w:val="00C26877"/>
    <w:rsid w:val="00C47159"/>
    <w:rsid w:val="00C56449"/>
    <w:rsid w:val="00C703BC"/>
    <w:rsid w:val="00C80448"/>
    <w:rsid w:val="00C9091A"/>
    <w:rsid w:val="00C94851"/>
    <w:rsid w:val="00CA1CFD"/>
    <w:rsid w:val="00CB01D0"/>
    <w:rsid w:val="00CB701A"/>
    <w:rsid w:val="00D0255E"/>
    <w:rsid w:val="00D06D54"/>
    <w:rsid w:val="00D5067E"/>
    <w:rsid w:val="00D756AD"/>
    <w:rsid w:val="00D82EA7"/>
    <w:rsid w:val="00D95C2C"/>
    <w:rsid w:val="00D97659"/>
    <w:rsid w:val="00DA33E5"/>
    <w:rsid w:val="00DB37B4"/>
    <w:rsid w:val="00DB5DB9"/>
    <w:rsid w:val="00DC0D52"/>
    <w:rsid w:val="00DE3206"/>
    <w:rsid w:val="00DF146C"/>
    <w:rsid w:val="00DF1B91"/>
    <w:rsid w:val="00DF656B"/>
    <w:rsid w:val="00E3262D"/>
    <w:rsid w:val="00E35A55"/>
    <w:rsid w:val="00E45EBB"/>
    <w:rsid w:val="00E55547"/>
    <w:rsid w:val="00E55D54"/>
    <w:rsid w:val="00E63214"/>
    <w:rsid w:val="00E9346E"/>
    <w:rsid w:val="00E940B6"/>
    <w:rsid w:val="00E97467"/>
    <w:rsid w:val="00EB7BE3"/>
    <w:rsid w:val="00EF3F35"/>
    <w:rsid w:val="00EF73B9"/>
    <w:rsid w:val="00F0331D"/>
    <w:rsid w:val="00F20C34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link w:val="ConsPlusNormal0"/>
    <w:rsid w:val="00E555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55547"/>
    <w:rPr>
      <w:sz w:val="24"/>
      <w:szCs w:val="24"/>
    </w:rPr>
  </w:style>
  <w:style w:type="character" w:styleId="af0">
    <w:name w:val="Hyperlink"/>
    <w:uiPriority w:val="99"/>
    <w:unhideWhenUsed/>
    <w:rsid w:val="00E55547"/>
    <w:rPr>
      <w:color w:val="0563C1"/>
      <w:u w:val="single"/>
    </w:rPr>
  </w:style>
  <w:style w:type="paragraph" w:customStyle="1" w:styleId="ConsPlusTitle">
    <w:name w:val="ConsPlusTitle"/>
    <w:rsid w:val="00BA56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Balloon Text"/>
    <w:basedOn w:val="a"/>
    <w:link w:val="af2"/>
    <w:rsid w:val="00240D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0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link w:val="ConsPlusNormal0"/>
    <w:rsid w:val="00E555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55547"/>
    <w:rPr>
      <w:sz w:val="24"/>
      <w:szCs w:val="24"/>
    </w:rPr>
  </w:style>
  <w:style w:type="character" w:styleId="af0">
    <w:name w:val="Hyperlink"/>
    <w:uiPriority w:val="99"/>
    <w:unhideWhenUsed/>
    <w:rsid w:val="00E55547"/>
    <w:rPr>
      <w:color w:val="0563C1"/>
      <w:u w:val="single"/>
    </w:rPr>
  </w:style>
  <w:style w:type="paragraph" w:customStyle="1" w:styleId="ConsPlusTitle">
    <w:name w:val="ConsPlusTitle"/>
    <w:rsid w:val="00BA56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Balloon Text"/>
    <w:basedOn w:val="a"/>
    <w:link w:val="af2"/>
    <w:rsid w:val="00240D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0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mraion.ru)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E9757B7D56BD236626BD5704DC424CF76FB6152F33247E268D32589FCD64F89993A36DDDD6F0995EC441BC6532ACCCBA370DCE39CF866189E017A9o50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E9757B7D56BD236626A35A12B01F47FD6CEF192F32282C7FDF340FC09D62ADD9D3A5389E92FF9958CF14EF256CF59CFA7C00CD23D38661o907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B19F-6362-4083-8847-A910385F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Николай Павлович</cp:lastModifiedBy>
  <cp:revision>7</cp:revision>
  <cp:lastPrinted>2023-09-29T04:46:00Z</cp:lastPrinted>
  <dcterms:created xsi:type="dcterms:W3CDTF">2023-10-09T03:15:00Z</dcterms:created>
  <dcterms:modified xsi:type="dcterms:W3CDTF">2023-10-10T04:49:00Z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